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Times New Roman" w:hAnsi="Times New Roman" w:eastAsia="Times New Roman"/>
          <w:b/>
          <w:i w:val="0"/>
          <w:color w:val="0B8A64"/>
          <w:sz w:val="21"/>
        </w:rPr>
        <w:t>КОМАНДНЫЙ ПРОЕКТ ПО ФИНАНСОВОЙ БЕЗОПАСНОСТИ</w:t>
      </w:r>
    </w:p>
    <w:p>
      <w:pPr>
        <w:spacing w:after="240"/>
        <w:jc w:val="center"/>
      </w:pPr>
      <w:r>
        <w:drawing>
          <wp:inline xmlns:a="http://schemas.openxmlformats.org/drawingml/2006/main" xmlns:pic="http://schemas.openxmlformats.org/drawingml/2006/picture">
            <wp:extent cx="1007999" cy="1007999"/>
            <wp:docPr id="1" name="Picture 1" title="Логотип «ФинАвангард»" descr="Фирменный знак образовательного портала «ФинАвангард»: буква F с оранжевым элементо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vangard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7999" cy="100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  <w:pBdr>
          <w:bottom w:val="single" w:sz="16" w:space="8" w:color="0B8A64"/>
        </w:pBdr>
      </w:pPr>
      <w:r>
        <w:rPr>
          <w:rFonts w:ascii="Times New Roman" w:hAnsi="Times New Roman" w:eastAsia="Times New Roman"/>
          <w:b/>
          <w:i w:val="0"/>
          <w:color w:val="082C4B"/>
          <w:sz w:val="60"/>
        </w:rPr>
        <w:t>ФИНАВАНГАРД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82C4B"/>
          <w:sz w:val="40"/>
        </w:rPr>
        <w:t>АКТУАЛИЗИРОВАННАЯ КОНЦЕПЦИЯ</w:t>
        <w:br/>
        <w:t>ОБРАЗОВАТЕЛЬНОГО ПОРТАЛА И ЦИФРОВОЙ СРЕДЫ</w:t>
        <w:br/>
        <w:t>ФОРМИРОВАНИЯ ЦИФРОВОГО ФИНАНСОВОГО ИММУНИТЕТА</w:t>
      </w:r>
    </w:p>
    <w:p>
      <w:pPr>
        <w:spacing w:after="320"/>
        <w:jc w:val="center"/>
      </w:pPr>
      <w:r>
        <w:rPr>
          <w:rFonts w:ascii="Times New Roman" w:hAnsi="Times New Roman" w:eastAsia="Times New Roman"/>
          <w:b/>
          <w:i/>
          <w:color w:val="F28A22"/>
          <w:sz w:val="28"/>
        </w:rPr>
        <w:t>От финансовой грамотности — к финансовому иммунитету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E9F1F5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СУТЬ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ФинАвангард — образовательный портал, цифровая среда, в которой пользователь принимает решения в смоделированных финансовых ситуациях, получает объясняющую обратную связь и учится применять безопасный алгоритм в момент риска.</w:t>
            </w:r>
          </w:p>
        </w:tc>
      </w:tr>
    </w:tbl>
    <w:p>
      <w:pPr>
        <w:spacing w:after="40"/>
      </w:pP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РЕЗУЛЬТАТ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Портал оценивает не просмотр страниц, а долю безопасных решений, структуру ошибок, качество аргументации и сохранение навыка при повторном кейсе через 90 дней.</w:t>
            </w:r>
          </w:p>
        </w:tc>
      </w:tr>
    </w:tbl>
    <w:p>
      <w:pPr>
        <w:spacing w:after="40"/>
      </w:pPr>
    </w:p>
    <w:p>
      <w:pPr>
        <w:spacing w:after="60"/>
        <w:jc w:val="center"/>
      </w:pPr>
      <w:r>
        <w:rPr>
          <w:rFonts w:ascii="Times New Roman" w:hAnsi="Times New Roman" w:eastAsia="Times New Roman"/>
          <w:b/>
          <w:i w:val="0"/>
          <w:color w:val="082C4B"/>
          <w:sz w:val="26"/>
        </w:rPr>
        <w:t>Команда «ФинАвангард»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 w:val="0"/>
          <w:i w:val="0"/>
          <w:color w:val="162B3A"/>
          <w:sz w:val="23"/>
        </w:rPr>
        <w:t>Северо-Кавказский филиал РГУП им. В. М. Лебедева</w:t>
      </w:r>
    </w:p>
    <w:p>
      <w:pPr>
        <w:jc w:val="center"/>
      </w:pPr>
      <w:hyperlink r:id="rId12">
        <w:r>
          <w:rPr>
            <w:rFonts w:ascii="Times New Roman" w:hAnsi="Times New Roman" w:eastAsia="Times New Roman"/>
            <w:color w:val="F28A22"/>
            <w:u w:val="single"/>
          </w:rPr>
          <w:t>https://finavangardgos.ru</w:t>
        </w:r>
      </w:hyperlink>
    </w:p>
    <w:p>
      <w:pPr>
        <w:spacing w:after="0"/>
        <w:jc w:val="center"/>
      </w:pPr>
      <w:r>
        <w:rPr>
          <w:rFonts w:ascii="Times New Roman" w:hAnsi="Times New Roman" w:eastAsia="Times New Roman"/>
          <w:b w:val="0"/>
          <w:i w:val="0"/>
          <w:color w:val="687B88"/>
          <w:sz w:val="21"/>
        </w:rPr>
        <w:t>Версия от 2 сентября 2026 года</w:t>
      </w:r>
    </w:p>
    <w:p>
      <w:r>
        <w:br w:type="page"/>
      </w:r>
    </w:p>
    <w:p>
      <w:pPr>
        <w:pStyle w:val="Heading1"/>
        <w:keepNext/>
      </w:pPr>
      <w:r>
        <w:t>Оглавление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1. Исполнительное резюме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2. Паспорт проекта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3. Терминологическая модель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4. Актуальность и проектная проблема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4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5. Цель, гипотеза, задачи и принципы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4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6. Состав продукта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5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6.1. Цифровой образовательный модуль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6.2. Кейс-симулятор решений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6.3. Персональное учебное досье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6.4. Проектируемая университетская лаборатория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6.5. Поддерживающие функции портала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7. Методология формирования безопасного поведения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7.1. Пять действий финансовой безопасности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6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7.2. Образовательная траектория пользователя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7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7.3. Объясняющая обратная связь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7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8. Система оценки и персональное учебное досье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7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8.1. Метрики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7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8.2. Контроль через 90 дней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8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8.3. Итоговое письменное задание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8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9. Восемь адаптивных траекторий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8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10. Межпоколенческое обучение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9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11. Университетская лаборатория цифровой финансовой безопасности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9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11.1. Статус и назначение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9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11.2. Конвейер актуализации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10</w:t>
      </w:r>
    </w:p>
    <w:p>
      <w:pPr>
        <w:keepLines/>
        <w:tabs>
          <w:tab w:pos="9071" w:val="right" w:leader="dot"/>
        </w:tabs>
        <w:spacing w:after="0" w:line="240" w:lineRule="auto"/>
        <w:ind w:left="312"/>
      </w:pPr>
      <w:r>
        <w:rPr>
          <w:rFonts w:ascii="Times New Roman" w:hAnsi="Times New Roman" w:eastAsia="Times New Roman"/>
          <w:b w:val="0"/>
          <w:color w:val="162B3A"/>
          <w:sz w:val="19"/>
        </w:rPr>
        <w:t>11.3. Модератор университетской лаборатории как последняя инстанция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10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12. Живые библиотеки угроз и источников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10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13. Международная адаптация и языки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11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14. Команда и распределение ролей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11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15. Правовая, этическая и информационная модель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12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16. Сертификат и границы образовательного статуса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12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17. Текущая версия, пилот и целевая архитектура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12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18. План пилотирования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19. Показатели качества и общественного эффекта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20. План развития и масштабирования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21. Риски проекта и меры управления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13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22. Переход к международному стандарту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14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23. Итоговая формула проекта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14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24. Научная, нормативная и информационная база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15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Приложение 1. Паспорт кейса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15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Приложение 2. Рубрика итогового эссе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16</w:t>
      </w:r>
    </w:p>
    <w:p>
      <w:pPr>
        <w:keepLines/>
        <w:tabs>
          <w:tab w:pos="9071" w:val="right" w:leader="dot"/>
        </w:tabs>
        <w:spacing w:after="20" w:line="240" w:lineRule="auto"/>
        <w:ind w:left="0"/>
      </w:pPr>
      <w:r>
        <w:rPr>
          <w:rFonts w:ascii="Times New Roman" w:hAnsi="Times New Roman" w:eastAsia="Times New Roman"/>
          <w:b/>
          <w:color w:val="082C4B"/>
          <w:sz w:val="20"/>
        </w:rPr>
        <w:t>Приложение 3. Матрица текущей и целевой функциональности</w:t>
      </w:r>
      <w:r>
        <w:tab/>
      </w:r>
      <w:r>
        <w:rPr>
          <w:rFonts w:ascii="Times New Roman" w:hAnsi="Times New Roman" w:eastAsia="Times New Roman"/>
          <w:color w:val="687B88"/>
          <w:sz w:val="19"/>
        </w:rPr>
        <w:t>16</w:t>
      </w:r>
    </w:p>
    <w:p>
      <w:r>
        <w:br w:type="page"/>
      </w:r>
    </w:p>
    <w:p>
      <w:pPr>
        <w:pStyle w:val="Heading1"/>
        <w:keepNext/>
      </w:pPr>
      <w:r>
        <w:t>1. Исполнительное резюме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«ФинАвангард» — образовательный проект интернационального образца в сфере финансовой безопасности. Его продуктом является постоянно развивающийся образовательный портал, цифровая среда для школьников, студентов, магистрантов, государственных и муниципальных служащих и граждан. Портал объединяет обучение, кейс-симуляцию, персональное учебное досье и механизм университетской актуализации материалов.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Проект решает разрыв между знанием правила и способностью применить его под давлением срочности, авторитета, страха или обещанной выгоды. Пользователь сначала принимает решение, затем видит последствия и получает следующий учебный шаг. Ошибка не заканчивает обучение: она превращается в адресный маршрут к более безопасной стратегии.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ФОРМУЛА ПРОДУКТА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цифровой образовательный модуль + решение в кейс-симуляторе + объясняющая обратная связь + персональное учебное досье + повторный кейс через 90 дней + актуализация лабораторией = формирование и поддержание финансового иммунитета</w:t>
            </w:r>
          </w:p>
        </w:tc>
      </w:tr>
    </w:tbl>
    <w:p>
      <w:pPr>
        <w:spacing w:after="4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Финансовый иммунитет в концепции — не медицинский, банковский или нормативно установленный статус. Это авторское обозначение устойчивых моделей финансово безопасного поведения: способности распознать угрозу, сделать паузу, защитить доступ, проверить ситуацию по независимому официальному каналу, выбрать безопасное действие, сохранить доказательства и обратиться по компетенции.</w:t>
      </w:r>
    </w:p>
    <w:p>
      <w:pPr>
        <w:pStyle w:val="Heading1"/>
        <w:keepNext/>
      </w:pPr>
      <w:r>
        <w:t>2. Паспорт проекта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869"/>
      </w:tblGrid>
      <w:tr>
        <w:trPr>
          <w:tblHeader w:val="true"/>
          <w:cantSplit/>
        </w:trP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Параметр</w:t>
            </w:r>
          </w:p>
        </w:tc>
        <w:tc>
          <w:tcPr>
            <w:tcW w:type="dxa" w:w="68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Наименование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«ФинАвангард»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Конкурсное направление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«Навык»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Определение продукта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образовательный портал, цифровая среда формирования навыков финансового иммунитета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Организационная принадлежность команды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Северо-Кавказский филиал РГУП им. В. М. Лебедева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Состав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цифровой образовательный модуль; кейс-симулятор решений; персональное учебное досье; проектируемая университетская лаборатория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Аудитории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восемь возрастных и профессиональных траекторий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Результат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безопасное действие в ситуации финансового риска, а не только воспроизведение знания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Контрольная точка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повторный параллельный кейс через 90 дней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Адрес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https://finavangardgos.ru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Статус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публичный прототип и проектная спецификация университетского пилота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3. Терминологическая модель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869"/>
      </w:tblGrid>
      <w:tr>
        <w:trPr>
          <w:tblHeader w:val="true"/>
          <w:cantSplit/>
        </w:trP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Термин</w:t>
            </w:r>
          </w:p>
        </w:tc>
        <w:tc>
          <w:tcPr>
            <w:tcW w:type="dxa" w:w="68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Рабочее определение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Финансовая безопасность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защищённость денег, доступа, данных, прав и законных интересов при совершении финансово значимых действий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Финансовый иммунитет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поддерживаемая способность применять безопасную последовательность действий в момент финансового риска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Образовательный портал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единая точка доступа к образовательному модулю, кейсам, досье, библиотекам и результатам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Цифровая среда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совокупность взаимосвязанных учебных действий, обратной связи, повторений и механизмов обновления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Кейс-симулятор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цифровая репетиция реалистичного риска, в которой решение принимается до подсказки и раскрывает последствия</w:t>
            </w:r>
          </w:p>
        </w:tc>
      </w:tr>
      <w:tr>
        <w:trPr>
          <w:cantSplit/>
        </w:trPr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Персональное учебное досье</w:t>
            </w:r>
          </w:p>
        </w:tc>
        <w:tc>
          <w:tcPr>
            <w:tcW w:type="dxa" w:w="6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учебная запись решений, ошибок, сильных и слабых зон; не финансовый рейтинг и не кредитная история</w:t>
            </w:r>
          </w:p>
        </w:tc>
      </w:tr>
      <w:tr>
        <w:trPr>
          <w:cantSplit/>
        </w:trPr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Лаборатория</w:t>
            </w:r>
          </w:p>
        </w:tc>
        <w:tc>
          <w:tcPr>
            <w:tcW w:type="dxa" w:w="6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проектируемая университетская рабочая группа, которая мониторит угрозы, проверяет источники, конструирует кейсы и допускает материалы к публикации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4. Актуальность и проектная проблема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Российская Стратегия повышения финансовой грамотности и формирования финансовой культуры до 2030 года связывает финансовую культуру с осознанными финансовыми решениями, управлением рисками, финансовой безопасностью и финансовой кибербезопасностью. OECD/INFE в инструментарии 2026 года измеряет финансовую грамотность через знание, поведение и установки и отдельно учитывает цифровую финансовую грамотность. Эти подходы подтверждают: одного информационного текста недостаточно для оценки реального действия.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600"/>
        <w:gridCol w:w="5869"/>
      </w:tblGrid>
      <w:tr>
        <w:trPr>
          <w:tblHeader w:val="true"/>
          <w:cantSplit/>
        </w:trPr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Проблема</w:t>
            </w:r>
          </w:p>
        </w:tc>
        <w:tc>
          <w:tcPr>
            <w:tcW w:type="dxa" w:w="58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Ответ «ФинАвангарда»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Человек знает правило, но ошибается под давлением</w:t>
            </w:r>
          </w:p>
        </w:tc>
        <w:tc>
          <w:tcPr>
            <w:tcW w:type="dxa" w:w="5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решение в реалистичной ситуации до появления подсказки</w:t>
            </w:r>
          </w:p>
        </w:tc>
      </w:tr>
      <w:tr>
        <w:trPr>
          <w:cantSplit/>
        </w:trPr>
        <w:tc>
          <w:tcPr>
            <w:tcW w:type="dxa" w:w="3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Обычный тест проверяет память</w:t>
            </w:r>
          </w:p>
        </w:tc>
        <w:tc>
          <w:tcPr>
            <w:tcW w:type="dxa" w:w="5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градация опасных, менее опасных и безопасных действий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Ошибка не объясняется</w:t>
            </w:r>
          </w:p>
        </w:tc>
        <w:tc>
          <w:tcPr>
            <w:tcW w:type="dxa" w:w="5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причинно-следственная обратная связь и следующий кейс-модуль</w:t>
            </w:r>
          </w:p>
        </w:tc>
      </w:tr>
      <w:tr>
        <w:trPr>
          <w:cantSplit/>
        </w:trPr>
        <w:tc>
          <w:tcPr>
            <w:tcW w:type="dxa" w:w="3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Материал быстро устаревает</w:t>
            </w:r>
          </w:p>
        </w:tc>
        <w:tc>
          <w:tcPr>
            <w:tcW w:type="dxa" w:w="5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живая библиотека угроз, версия, дата и проверяемый первоисточник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Разовое обучение не показывает сохранение результата</w:t>
            </w:r>
          </w:p>
        </w:tc>
        <w:tc>
          <w:tcPr>
            <w:tcW w:type="dxa" w:w="5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отсроченный параллельный кейс через 90 дней</w:t>
            </w:r>
          </w:p>
        </w:tc>
      </w:tr>
      <w:tr>
        <w:trPr>
          <w:cantSplit/>
        </w:trPr>
        <w:tc>
          <w:tcPr>
            <w:tcW w:type="dxa" w:w="3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Один текст не подходит всем</w:t>
            </w:r>
          </w:p>
        </w:tc>
        <w:tc>
          <w:tcPr>
            <w:tcW w:type="dxa" w:w="58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восемь адаптивных траекторий и межпоколенческое обучение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Перевод смешивается с правом другой страны</w:t>
            </w:r>
          </w:p>
        </w:tc>
        <w:tc>
          <w:tcPr>
            <w:tcW w:type="dxa" w:w="58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разделение языка интерфейса и применимой юрисдикции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5. Цель, гипотеза, задачи и принципы</w:t>
      </w:r>
    </w:p>
    <w:p>
      <w:pPr>
        <w:pStyle w:val="Heading2"/>
        <w:keepNext/>
      </w:pPr>
      <w:r>
        <w:t>5.1. Цель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DDF2E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ЦЕЛЬ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Создать постоянно развивающийся образовательный портал, который формирует, измеряет и помогает сохранять навыки финансово безопасного поведения у пользователей разных возрастов и подготавливает доказательную основу для международной адаптации проекта.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5.2. Проектная гипотеза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Если пользователь неоднократно принимает решения в обновляемых сценариях, получает объяснение последствий, видит собственные слабые зоны и переносит алгоритм в новый контекст, то вероятность выбора безопасного действия в аналогичной ситуации должна увеличиться. Эта гипотеза подлежит проверке в пилоте; концепция не выдаёт предполагаемый эффект за уже доказанный.</w:t>
      </w:r>
    </w:p>
    <w:p>
      <w:pPr>
        <w:pStyle w:val="Heading2"/>
        <w:keepNext/>
      </w:pPr>
      <w:r>
        <w:t>5.3. Задачи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Объединить восемь образовательных траекторий единым поведенческим ядром.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Создать кейс-симуляторы с правдоподобным давлением, вариантами решений и объясняющей обратной связью.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Фиксировать решения, ошибки, сильные и слабые зоны в персональном учебном досье.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Проверять не только немедленный результат, но и сохранение навыка через 90 дней.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Разработать университетский механизм мониторинга угроз и регулярного обновления материалов.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Обеспечить языковую доступность без смешения интерфейса и правовой юрисдикции.</w:t>
      </w:r>
    </w:p>
    <w:p>
      <w:pPr>
        <w:numPr>
          <w:ilvl w:val="0"/>
          <w:numId w:val="10"/>
        </w:numPr>
        <w:spacing w:after="80" w:line="276" w:lineRule="auto"/>
      </w:pPr>
      <w:r>
        <w:rPr>
          <w:rFonts w:ascii="Times New Roman" w:hAnsi="Times New Roman" w:eastAsia="Times New Roman"/>
        </w:rPr>
        <w:t>Сформировать сопоставимую систему оценки реальных финансовых навыков для будущих международных пилотов.</w:t>
      </w:r>
    </w:p>
    <w:p>
      <w:pPr>
        <w:pStyle w:val="Heading2"/>
        <w:keepNext/>
      </w:pPr>
      <w:r>
        <w:t>5.4. Принципы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безопасное действие важнее формального запоминания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каждая ошибка превращается в учебный маршрут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оценка объяснима: пользователь видит критерий и последствие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источники датируются, а правовые выводы маркируются по юрисдикции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ИИ может помогать анализу, но окончательный допуск осуществляет модератор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учебное досье не используется как рейтинг благонадёжности</w:t>
      </w:r>
    </w:p>
    <w:p>
      <w:pPr>
        <w:numPr>
          <w:ilvl w:val="0"/>
          <w:numId w:val="11"/>
        </w:numPr>
        <w:spacing w:after="60" w:line="276" w:lineRule="auto"/>
      </w:pPr>
      <w:r>
        <w:rPr>
          <w:rFonts w:ascii="Times New Roman" w:hAnsi="Times New Roman" w:eastAsia="Times New Roman"/>
        </w:rPr>
        <w:t>международный статус не заявляется до независимой проверки и институционального признания</w:t>
      </w:r>
    </w:p>
    <w:p>
      <w:pPr>
        <w:pStyle w:val="Heading1"/>
        <w:keepNext/>
      </w:pPr>
      <w:r>
        <w:t>6. Состав продукта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00"/>
        <w:gridCol w:w="2600"/>
        <w:gridCol w:w="3450"/>
        <w:gridCol w:w="2719"/>
      </w:tblGrid>
      <w:tr>
        <w:trPr>
          <w:tblHeader w:val="true"/>
          <w:cantSplit/>
        </w:trPr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№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Компонент</w:t>
            </w:r>
          </w:p>
        </w:tc>
        <w:tc>
          <w:tcPr>
            <w:tcW w:type="dxa" w:w="345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Функция</w:t>
            </w:r>
          </w:p>
        </w:tc>
        <w:tc>
          <w:tcPr>
            <w:tcW w:type="dxa" w:w="271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Измеримый результат</w:t>
            </w:r>
          </w:p>
        </w:tc>
      </w:tr>
      <w:tr>
        <w:trPr>
          <w:cantSplit/>
        </w:trPr>
        <w:tc>
          <w:tcPr>
            <w:tcW w:type="dxa" w:w="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01</w:t>
            </w:r>
          </w:p>
        </w:tc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Цифровой образовательный модуль</w:t>
            </w:r>
          </w:p>
        </w:tc>
        <w:tc>
          <w:tcPr>
            <w:tcW w:type="dxa" w:w="34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адаптирует содержание по возрасту, статусу и типу риска</w:t>
            </w:r>
          </w:p>
        </w:tc>
        <w:tc>
          <w:tcPr>
            <w:tcW w:type="dxa" w:w="27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понимание правила и подготовка к решению</w:t>
            </w:r>
          </w:p>
        </w:tc>
      </w:tr>
      <w:tr>
        <w:trPr>
          <w:cantSplit/>
        </w:trPr>
        <w:tc>
          <w:tcPr>
            <w:tcW w:type="dxa" w:w="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02</w:t>
            </w:r>
          </w:p>
        </w:tc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Кейс-симулятор решений</w:t>
            </w:r>
          </w:p>
        </w:tc>
        <w:tc>
          <w:tcPr>
            <w:tcW w:type="dxa" w:w="34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воспроизводит ситуацию давления и фиксирует выбор до подсказки</w:t>
            </w:r>
          </w:p>
        </w:tc>
        <w:tc>
          <w:tcPr>
            <w:tcW w:type="dxa" w:w="27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опасное, менее опасное или безопасное действие</w:t>
            </w:r>
          </w:p>
        </w:tc>
      </w:tr>
      <w:tr>
        <w:trPr>
          <w:cantSplit/>
        </w:trPr>
        <w:tc>
          <w:tcPr>
            <w:tcW w:type="dxa" w:w="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03</w:t>
            </w:r>
          </w:p>
        </w:tc>
        <w:tc>
          <w:tcPr>
            <w:tcW w:type="dxa" w:w="26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Персональное учебное досье</w:t>
            </w:r>
          </w:p>
        </w:tc>
        <w:tc>
          <w:tcPr>
            <w:tcW w:type="dxa" w:w="34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показывает решения, ошибки, преимущества, слабые зоны и дату повторения</w:t>
            </w:r>
          </w:p>
        </w:tc>
        <w:tc>
          <w:tcPr>
            <w:tcW w:type="dxa" w:w="27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персональный маршрут закрепления</w:t>
            </w:r>
          </w:p>
        </w:tc>
      </w:tr>
      <w:tr>
        <w:trPr>
          <w:cantSplit/>
        </w:trPr>
        <w:tc>
          <w:tcPr>
            <w:tcW w:type="dxa" w:w="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04</w:t>
            </w:r>
          </w:p>
        </w:tc>
        <w:tc>
          <w:tcPr>
            <w:tcW w:type="dxa" w:w="26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Проектируемая Университетская лаборатория цифровой финансовой безопасности</w:t>
            </w:r>
          </w:p>
        </w:tc>
        <w:tc>
          <w:tcPr>
            <w:tcW w:type="dxa" w:w="34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мониторит угрозы, проверяет первоисточники, обновляет кейсы и допускает материалы</w:t>
            </w:r>
          </w:p>
        </w:tc>
        <w:tc>
          <w:tcPr>
            <w:tcW w:type="dxa" w:w="27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датированная и экспертно проверенная версия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6.1. Цифровой образовательный модуль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Модуль состоит из восьми адаптивных траекторий. Общим остаётся алгоритм безопасного поведения; меняются глубина, язык, жизненный контекст, профессиональная сложность, правовой материал и форма итогового задания. Такая архитектура позволяет сохранить узнаваемость метода от школьного возраста до профессионального применения.</w:t>
      </w:r>
    </w:p>
    <w:p>
      <w:pPr>
        <w:pStyle w:val="Heading2"/>
        <w:keepNext/>
      </w:pPr>
      <w:r>
        <w:t>6.2. Кейс-симулятор решений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Кейс-симулятор предъявляет реалистичную ситуацию с неполными данными, срочностью, авторитетным тоном или обещанием выгоды. Пользователь выбирает действие до получения подсказки. Система определяет уровень риска выбора, объясняет возможные последствия для денег, доступа, данных или прав и направляет к следующему безопасному шагу.</w:t>
      </w:r>
    </w:p>
    <w:p>
      <w:pPr>
        <w:pStyle w:val="Heading2"/>
        <w:keepNext/>
      </w:pPr>
      <w:r>
        <w:t>6.3. Персональное учебное досье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Досье содержит выбранную траекторию, язык, применимый правовой модуль, историю решений, структуру ошибок, сильные и слабые зоны, дату прохождения и дату повторного кейса. В текущем прототипе результат и дата повторения сохраняются локально в браузере; полноценная серверная история является целевой функцией и требует отдельного правового и технического контура.</w:t>
      </w:r>
    </w:p>
    <w:p>
      <w:pPr>
        <w:pStyle w:val="Heading2"/>
        <w:keepNext/>
      </w:pPr>
      <w:r>
        <w:t>6.4. Проектируемая университетская лаборатория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Проект предлагает создать при Северо-Кавказском филиале РГУП им. В. М. Лебедева Университетскую лабораторию цифровой финансовой безопасности: рабочую группу из 5–7 ответственных студентов под научным и экспертным руководством. До издания соответствующего институционального акта лаборатория является проектируемой моделью, а не официально учреждённым подразделением университета.</w:t>
      </w:r>
    </w:p>
    <w:p>
      <w:pPr>
        <w:pStyle w:val="Heading2"/>
        <w:keepNext/>
      </w:pPr>
      <w:r>
        <w:t>6.5. Поддерживающие функции портала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6569"/>
      </w:tblGrid>
      <w:tr>
        <w:trPr>
          <w:tblHeader w:val="true"/>
          <w:cantSplit/>
        </w:trPr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Функция</w:t>
            </w:r>
          </w:p>
        </w:tc>
        <w:tc>
          <w:tcPr>
            <w:tcW w:type="dxa" w:w="65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Практический эффект</w:t>
            </w:r>
          </w:p>
        </w:tc>
      </w:tr>
      <w:tr>
        <w:trPr>
          <w:cantSplit/>
        </w:trPr>
        <w:tc>
          <w:tcPr>
            <w:tcW w:type="dxa" w:w="2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Экспресс-маршрут безопасности</w:t>
            </w:r>
          </w:p>
        </w:tc>
        <w:tc>
          <w:tcPr>
            <w:tcW w:type="dxa" w:w="6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 типу инцидента показывает первое безопасное действие и открывает соответствующий кейс-модуль</w:t>
            </w:r>
          </w:p>
        </w:tc>
      </w:tr>
      <w:tr>
        <w:trPr>
          <w:cantSplit/>
        </w:trPr>
        <w:tc>
          <w:tcPr>
            <w:tcW w:type="dxa" w:w="2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Живая библиотека угроз</w:t>
            </w:r>
          </w:p>
        </w:tc>
        <w:tc>
          <w:tcPr>
            <w:tcW w:type="dxa" w:w="6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структурирует схемы, уязвимости, последствия и безопасные стратегии</w:t>
            </w:r>
          </w:p>
        </w:tc>
      </w:tr>
      <w:tr>
        <w:trPr>
          <w:cantSplit/>
        </w:trPr>
        <w:tc>
          <w:tcPr>
            <w:tcW w:type="dxa" w:w="2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Библиотека источников</w:t>
            </w:r>
          </w:p>
        </w:tc>
        <w:tc>
          <w:tcPr>
            <w:tcW w:type="dxa" w:w="6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даёт доступ к официальным и проверяемым материалам</w:t>
            </w:r>
          </w:p>
        </w:tc>
      </w:tr>
      <w:tr>
        <w:trPr>
          <w:cantSplit/>
        </w:trPr>
        <w:tc>
          <w:tcPr>
            <w:tcW w:type="dxa" w:w="2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Итоговое эссе</w:t>
            </w:r>
          </w:p>
        </w:tc>
        <w:tc>
          <w:tcPr>
            <w:tcW w:type="dxa" w:w="6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проверяет самостоятельное решение новой ситуации и аргументацию</w:t>
            </w:r>
          </w:p>
        </w:tc>
      </w:tr>
      <w:tr>
        <w:trPr>
          <w:cantSplit/>
        </w:trPr>
        <w:tc>
          <w:tcPr>
            <w:tcW w:type="dxa" w:w="2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Сертификат</w:t>
            </w:r>
          </w:p>
        </w:tc>
        <w:tc>
          <w:tcPr>
            <w:tcW w:type="dxa" w:w="6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подтверждает прохождение информационного курса, но не образование или квалификацию</w:t>
            </w:r>
          </w:p>
        </w:tc>
      </w:tr>
      <w:tr>
        <w:trPr>
          <w:cantSplit/>
        </w:trPr>
        <w:tc>
          <w:tcPr>
            <w:tcW w:type="dxa" w:w="2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Языковой переключатель</w:t>
            </w:r>
          </w:p>
        </w:tc>
        <w:tc>
          <w:tcPr>
            <w:tcW w:type="dxa" w:w="6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расширяет доступность и одновременно предупреждает: язык не равен юрисдикции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7. Методология формирования безопасного поведения</w:t>
      </w:r>
    </w:p>
    <w:p>
      <w:pPr>
        <w:pStyle w:val="Heading2"/>
        <w:keepNext/>
      </w:pPr>
      <w:r>
        <w:t>7.1. Пять действий финансовой безопасности</w:t>
      </w:r>
    </w:p>
    <w:p>
      <w:pPr>
        <w:numPr>
          <w:ilvl w:val="0"/>
          <w:numId w:val="12"/>
        </w:numPr>
        <w:spacing w:after="80" w:line="276" w:lineRule="auto"/>
      </w:pPr>
      <w:r>
        <w:rPr>
          <w:rFonts w:ascii="Times New Roman" w:hAnsi="Times New Roman" w:eastAsia="Times New Roman"/>
        </w:rPr>
        <w:t>Остановиться — не действовать под давлением срочности, страха, авторитета или обещания выгоды.</w:t>
      </w:r>
    </w:p>
    <w:p>
      <w:pPr>
        <w:numPr>
          <w:ilvl w:val="0"/>
          <w:numId w:val="12"/>
        </w:numPr>
        <w:spacing w:after="80" w:line="276" w:lineRule="auto"/>
      </w:pPr>
      <w:r>
        <w:rPr>
          <w:rFonts w:ascii="Times New Roman" w:hAnsi="Times New Roman" w:eastAsia="Times New Roman"/>
        </w:rPr>
        <w:t>Защитить доступ — не передавать логины, пароли, ПИН-, CVV- и подтверждающие коды; не предоставлять карту или счёт для чужих операций.</w:t>
      </w:r>
    </w:p>
    <w:p>
      <w:pPr>
        <w:numPr>
          <w:ilvl w:val="0"/>
          <w:numId w:val="12"/>
        </w:numPr>
        <w:spacing w:after="80" w:line="276" w:lineRule="auto"/>
      </w:pPr>
      <w:r>
        <w:rPr>
          <w:rFonts w:ascii="Times New Roman" w:hAnsi="Times New Roman" w:eastAsia="Times New Roman"/>
        </w:rPr>
        <w:t>Проверить — самостоятельно открыть официальный канал и проверить личность, получателя, назначение, адрес, лицензию и условия.</w:t>
      </w:r>
    </w:p>
    <w:p>
      <w:pPr>
        <w:numPr>
          <w:ilvl w:val="0"/>
          <w:numId w:val="12"/>
        </w:numPr>
        <w:spacing w:after="80" w:line="276" w:lineRule="auto"/>
      </w:pPr>
      <w:r>
        <w:rPr>
          <w:rFonts w:ascii="Times New Roman" w:hAnsi="Times New Roman" w:eastAsia="Times New Roman"/>
        </w:rPr>
        <w:t>Выбрать безопасное действие — прекратить контакт, отказаться от операции, заблокировать доступ либо передать вопрос компетентному лицу.</w:t>
      </w:r>
    </w:p>
    <w:p>
      <w:pPr>
        <w:numPr>
          <w:ilvl w:val="0"/>
          <w:numId w:val="12"/>
        </w:numPr>
        <w:spacing w:after="80" w:line="276" w:lineRule="auto"/>
      </w:pPr>
      <w:r>
        <w:rPr>
          <w:rFonts w:ascii="Times New Roman" w:hAnsi="Times New Roman" w:eastAsia="Times New Roman"/>
        </w:rPr>
        <w:t>Зафиксировать и обратиться — сохранить сообщение, чек, выписку или переписку и действовать по надлежащему маршруту защиты.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E9F1F5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РОЛЬ АЛГОРИТМА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Пять действий поддерживают образовательный модуль и ведут к финансово безопасному решению, но не подменяют содержание, правовой анализ или профессиональную консультацию.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7.2. Образовательная траектория пользователя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3900"/>
        <w:gridCol w:w="4369"/>
      </w:tblGrid>
      <w:tr>
        <w:trPr>
          <w:tblHeader w:val="true"/>
          <w:cantSplit/>
        </w:trPr>
        <w:tc>
          <w:tcPr>
            <w:tcW w:type="dxa" w:w="12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Действие пользователя</w:t>
            </w:r>
          </w:p>
        </w:tc>
        <w:tc>
          <w:tcPr>
            <w:tcW w:type="dxa" w:w="43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1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Выбор</w:t>
            </w:r>
          </w:p>
        </w:tc>
        <w:tc>
          <w:tcPr>
            <w:tcW w:type="dxa" w:w="3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выбирает возрастную или профессиональную траекторию</w:t>
            </w:r>
          </w:p>
        </w:tc>
        <w:tc>
          <w:tcPr>
            <w:tcW w:type="dxa" w:w="43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контекст обучения</w:t>
            </w:r>
          </w:p>
        </w:tc>
      </w:tr>
      <w:tr>
        <w:trPr>
          <w:cantSplit/>
        </w:trPr>
        <w:tc>
          <w:tcPr>
            <w:tcW w:type="dxa" w:w="1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B0</w:t>
            </w:r>
          </w:p>
        </w:tc>
        <w:tc>
          <w:tcPr>
            <w:tcW w:type="dxa" w:w="3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решает входной параллельный кейс</w:t>
            </w:r>
          </w:p>
        </w:tc>
        <w:tc>
          <w:tcPr>
            <w:tcW w:type="dxa" w:w="43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исходное поведение</w:t>
            </w:r>
          </w:p>
        </w:tc>
      </w:tr>
      <w:tr>
        <w:trPr>
          <w:cantSplit/>
        </w:trPr>
        <w:tc>
          <w:tcPr>
            <w:tcW w:type="dxa" w:w="1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Модуль</w:t>
            </w:r>
          </w:p>
        </w:tc>
        <w:tc>
          <w:tcPr>
            <w:tcW w:type="dxa" w:w="3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изучает правило, пример и проверяемые источники</w:t>
            </w:r>
          </w:p>
        </w:tc>
        <w:tc>
          <w:tcPr>
            <w:tcW w:type="dxa" w:w="43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понимание содержания</w:t>
            </w:r>
          </w:p>
        </w:tc>
      </w:tr>
      <w:tr>
        <w:trPr>
          <w:cantSplit/>
        </w:trPr>
        <w:tc>
          <w:tcPr>
            <w:tcW w:type="dxa" w:w="1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Кейс</w:t>
            </w:r>
          </w:p>
        </w:tc>
        <w:tc>
          <w:tcPr>
            <w:tcW w:type="dxa" w:w="3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принимает решение до подсказки</w:t>
            </w:r>
          </w:p>
        </w:tc>
        <w:tc>
          <w:tcPr>
            <w:tcW w:type="dxa" w:w="43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уровень риска выбора</w:t>
            </w:r>
          </w:p>
        </w:tc>
      </w:tr>
      <w:tr>
        <w:trPr>
          <w:cantSplit/>
        </w:trPr>
        <w:tc>
          <w:tcPr>
            <w:tcW w:type="dxa" w:w="1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Обратная связь</w:t>
            </w:r>
          </w:p>
        </w:tc>
        <w:tc>
          <w:tcPr>
            <w:tcW w:type="dxa" w:w="3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сопоставляет выбор с последствиями</w:t>
            </w:r>
          </w:p>
        </w:tc>
        <w:tc>
          <w:tcPr>
            <w:tcW w:type="dxa" w:w="43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слабая зона и следующий шаг</w:t>
            </w:r>
          </w:p>
        </w:tc>
      </w:tr>
      <w:tr>
        <w:trPr>
          <w:cantSplit/>
        </w:trPr>
        <w:tc>
          <w:tcPr>
            <w:tcW w:type="dxa" w:w="1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B1</w:t>
            </w:r>
          </w:p>
        </w:tc>
        <w:tc>
          <w:tcPr>
            <w:tcW w:type="dxa" w:w="3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проходит итоговый контроль</w:t>
            </w:r>
          </w:p>
        </w:tc>
        <w:tc>
          <w:tcPr>
            <w:tcW w:type="dxa" w:w="43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немедленный результат и прирост</w:t>
            </w:r>
          </w:p>
        </w:tc>
      </w:tr>
      <w:tr>
        <w:trPr>
          <w:cantSplit/>
        </w:trPr>
        <w:tc>
          <w:tcPr>
            <w:tcW w:type="dxa" w:w="1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Эссе</w:t>
            </w:r>
          </w:p>
        </w:tc>
        <w:tc>
          <w:tcPr>
            <w:tcW w:type="dxa" w:w="3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решает новую ситуацию и обосновывает стратегию</w:t>
            </w:r>
          </w:p>
        </w:tc>
        <w:tc>
          <w:tcPr>
            <w:tcW w:type="dxa" w:w="43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качество аргументации</w:t>
            </w:r>
          </w:p>
        </w:tc>
      </w:tr>
      <w:tr>
        <w:trPr>
          <w:cantSplit/>
        </w:trPr>
        <w:tc>
          <w:tcPr>
            <w:tcW w:type="dxa" w:w="1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90 дней</w:t>
            </w:r>
          </w:p>
        </w:tc>
        <w:tc>
          <w:tcPr>
            <w:tcW w:type="dxa" w:w="3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решает новый кейс того же домена</w:t>
            </w:r>
          </w:p>
        </w:tc>
        <w:tc>
          <w:tcPr>
            <w:tcW w:type="dxa" w:w="43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сохранение и перенос навыка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7.3. Объясняющая обратная связь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269"/>
      </w:tblGrid>
      <w:tr>
        <w:trPr>
          <w:tblHeader w:val="true"/>
          <w:cantSplit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Элемент</w:t>
            </w:r>
          </w:p>
        </w:tc>
        <w:tc>
          <w:tcPr>
            <w:tcW w:type="dxa" w:w="72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Выбор</w:t>
            </w:r>
          </w:p>
        </w:tc>
        <w:tc>
          <w:tcPr>
            <w:tcW w:type="dxa" w:w="7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какое действие совершил пользователь</w:t>
            </w:r>
          </w:p>
        </w:tc>
      </w:tr>
      <w:tr>
        <w:trPr>
          <w:cantSplit/>
        </w:trPr>
        <w:tc>
          <w:tcPr>
            <w:tcW w:type="dxa" w:w="2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Уровень риска</w:t>
            </w:r>
          </w:p>
        </w:tc>
        <w:tc>
          <w:tcPr>
            <w:tcW w:type="dxa" w:w="72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опасное, менее опасное или безопасное решение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Последствие</w:t>
            </w:r>
          </w:p>
        </w:tc>
        <w:tc>
          <w:tcPr>
            <w:tcW w:type="dxa" w:w="7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что может произойти с деньгами, доступом, данными, правами или доказательствами</w:t>
            </w:r>
          </w:p>
        </w:tc>
      </w:tr>
      <w:tr>
        <w:trPr>
          <w:cantSplit/>
        </w:trPr>
        <w:tc>
          <w:tcPr>
            <w:tcW w:type="dxa" w:w="2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Коррекция</w:t>
            </w:r>
          </w:p>
        </w:tc>
        <w:tc>
          <w:tcPr>
            <w:tcW w:type="dxa" w:w="72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какое действие было бы безопаснее и почему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Маршрут</w:t>
            </w:r>
          </w:p>
        </w:tc>
        <w:tc>
          <w:tcPr>
            <w:tcW w:type="dxa" w:w="7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какой кейс-модуль, источник или компетентный адресат использовать дальше</w:t>
            </w:r>
          </w:p>
        </w:tc>
      </w:tr>
    </w:tbl>
    <w:p>
      <w:pPr>
        <w:spacing w:after="2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Портал не ограничивается сообщением «неверно». Его задача — помочь пользователю выстроить грамотную последовательность мысли, увидеть точку риска и сформировать применимую финансово безопасную стратегию.</w:t>
      </w:r>
    </w:p>
    <w:p>
      <w:pPr>
        <w:pStyle w:val="Heading1"/>
        <w:keepNext/>
      </w:pPr>
      <w:r>
        <w:t>8. Система оценки и персональное учебное досье</w:t>
      </w:r>
    </w:p>
    <w:p>
      <w:pPr>
        <w:pStyle w:val="Heading2"/>
        <w:keepNext/>
      </w:pPr>
      <w:r>
        <w:t>8.1. Метрики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200"/>
        <w:gridCol w:w="4169"/>
      </w:tblGrid>
      <w:tr>
        <w:trPr>
          <w:tblHeader w:val="true"/>
          <w:cantSplit/>
        </w:trP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2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Расчёт</w:t>
            </w:r>
          </w:p>
        </w:tc>
        <w:tc>
          <w:tcPr>
            <w:tcW w:type="dxa" w:w="41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Интерпретация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S — доля безопасных решений</w:t>
            </w:r>
          </w:p>
        </w:tc>
        <w:tc>
          <w:tcPr>
            <w:tcW w:type="dxa" w:w="3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число безопасных решений / все оцениваемые решения × 100%</w:t>
            </w:r>
          </w:p>
        </w:tc>
        <w:tc>
          <w:tcPr>
            <w:tcW w:type="dxa" w:w="4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основной поведенческий результат сессии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E — структура ошибок</w:t>
            </w:r>
          </w:p>
        </w:tc>
        <w:tc>
          <w:tcPr>
            <w:tcW w:type="dxa" w:w="3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число опасных и менее опасных решений по доменам</w:t>
            </w:r>
          </w:p>
        </w:tc>
        <w:tc>
          <w:tcPr>
            <w:tcW w:type="dxa" w:w="4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показывает не только объём, но и тип риска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Δ — прирост</w:t>
            </w:r>
          </w:p>
        </w:tc>
        <w:tc>
          <w:tcPr>
            <w:tcW w:type="dxa" w:w="3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S(B1) − S(B0), процентные пункты</w:t>
            </w:r>
          </w:p>
        </w:tc>
        <w:tc>
          <w:tcPr>
            <w:tcW w:type="dxa" w:w="4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изменение сразу после образовательного модуля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R — письменная аргументация</w:t>
            </w:r>
          </w:p>
        </w:tc>
        <w:tc>
          <w:tcPr>
            <w:tcW w:type="dxa" w:w="3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полученные баллы эссе / 12 × 100%</w:t>
            </w:r>
          </w:p>
        </w:tc>
        <w:tc>
          <w:tcPr>
            <w:tcW w:type="dxa" w:w="4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самостоятельность и правовая аккуратность решения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K90 — сохранение</w:t>
            </w:r>
          </w:p>
        </w:tc>
        <w:tc>
          <w:tcPr>
            <w:tcW w:type="dxa" w:w="3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S(90) / S(B1) × 100%; не рассчитывается при S(B1)=0</w:t>
            </w:r>
          </w:p>
        </w:tc>
        <w:tc>
          <w:tcPr>
            <w:tcW w:type="dxa" w:w="4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доля итогового результата, воспроизведённая через 90 дней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L90 — ослабление</w:t>
            </w:r>
          </w:p>
        </w:tc>
        <w:tc>
          <w:tcPr>
            <w:tcW w:type="dxa" w:w="3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S(B1) − S(90), процентные пункты</w:t>
            </w:r>
          </w:p>
        </w:tc>
        <w:tc>
          <w:tcPr>
            <w:tcW w:type="dxa" w:w="4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потеря результата к контрольной точке</w:t>
            </w:r>
          </w:p>
        </w:tc>
      </w:tr>
    </w:tbl>
    <w:p>
      <w:pPr>
        <w:spacing w:after="20"/>
      </w:pP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ВАЖНО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В публичном прототипе зачёт после пяти вопросов выдаётся при результате не менее 4 из 5. Это текущая продуктовая настройка, а не научно валидированный универсальный порог; она подлежит проверке в пилоте.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8.2. Контроль через 90 дней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Девяностый день используется как заранее выбранная отсроченная точка, позволяющая проверить перенос алгоритма в новый контекст и сопоставить результаты участников. Исследования привычек показывают значительную индивидуальную вариативность сроков автоматизации поведения; поэтому проект не утверждает, что у каждого пользователя навык неизбежно формируется ровно за 90 дней.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Повторный кейс должен быть параллельным, а не идентичным: он проверяет тот же домен безопасности, но изменяет сюжет, участников и внешние признаки. Если результат снизился, досье назначает адресное повторение; сертификат прохождения не отзывается, а отсроченный показатель отражается отдельно.</w:t>
      </w:r>
    </w:p>
    <w:p>
      <w:pPr>
        <w:pStyle w:val="Heading2"/>
        <w:keepNext/>
      </w:pPr>
      <w:r>
        <w:t>8.3. Итоговое письменное задание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После зачёта пользователь получает новую финансовую ситуацию и пишет краткое эссе: определяет риск, выбирает безопасную стратегию, описывает проверку по официальному каналу, порядок фиксации и компетентный маршрут обращения. Материал проверяет модератор проектируемой Университетской лаборатории цифровой финансовой безопасности по открытой рубрике.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E9F1F5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ТЕКУЩИЙ ПРОТОТИП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Черновик эссе сохраняется только на устройстве пользователя и не передаётся модератору. Серверная отправка, обратная связь и контакт с пользователем относятся к целевой версии и запускаются только после внедрения защищённой передачи, согласия и регламента обработки данных.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9. Восемь адаптивных траекторий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Восемь траекторий образуют один цифровой образовательный модуль. Пользователь получает материал, соответствующий возрасту и социальной роли, но встречает один и тот же узнаваемый алгоритм финансовой безопасности.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900"/>
        <w:gridCol w:w="2850"/>
        <w:gridCol w:w="2819"/>
      </w:tblGrid>
      <w:tr>
        <w:trPr>
          <w:tblHeader w:val="true"/>
          <w:cantSplit/>
        </w:trPr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Аудитория</w:t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Траектория</w:t>
            </w:r>
          </w:p>
        </w:tc>
        <w:tc>
          <w:tcPr>
            <w:tcW w:type="dxa" w:w="285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Фокус</w:t>
            </w:r>
          </w:p>
        </w:tc>
        <w:tc>
          <w:tcPr>
            <w:tcW w:type="dxa" w:w="281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Целевое действие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5-й класс</w:t>
            </w:r>
          </w:p>
        </w:tc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Безопасная карта</w:t>
            </w:r>
          </w:p>
        </w:tc>
        <w:tc>
          <w:tcPr>
            <w:tcW w:type="dxa" w:w="28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игра, чат, первая покупка, банковская карта, секретные данные</w:t>
            </w:r>
          </w:p>
        </w:tc>
        <w:tc>
          <w:tcPr>
            <w:tcW w:type="dxa" w:w="28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остановить контакт, ничего не сообщать, обратиться к доверенному взрослому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8–9-е классы</w:t>
            </w:r>
          </w:p>
        </w:tc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Не стать дроппером</w:t>
            </w:r>
          </w:p>
        </w:tc>
        <w:tc>
          <w:tcPr>
            <w:tcW w:type="dxa" w:w="28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фишинг, вербовка, «лёгкий заработок», цифровой след</w:t>
            </w:r>
          </w:p>
        </w:tc>
        <w:tc>
          <w:tcPr>
            <w:tcW w:type="dxa" w:w="28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отказаться, сохранить сообщение, сообщить взрослому или в банк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10–11-е классы</w:t>
            </w:r>
          </w:p>
        </w:tc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Финансовая самостоятельность</w:t>
            </w:r>
          </w:p>
        </w:tc>
        <w:tc>
          <w:tcPr>
            <w:tcW w:type="dxa" w:w="28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кредиты, инвестиционные ловушки, договоры, ответственность</w:t>
            </w:r>
          </w:p>
        </w:tc>
        <w:tc>
          <w:tcPr>
            <w:tcW w:type="dxa" w:w="28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проверить условия и участника рынка до перевода или подписания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СПО</w:t>
            </w:r>
          </w:p>
        </w:tc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Безопасный старт профессии</w:t>
            </w:r>
          </w:p>
        </w:tc>
        <w:tc>
          <w:tcPr>
            <w:tcW w:type="dxa" w:w="28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вакансии-ловушки, первая зарплата, права потребителя</w:t>
            </w:r>
          </w:p>
        </w:tc>
        <w:tc>
          <w:tcPr>
            <w:tcW w:type="dxa" w:w="28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проверить работодателя и не передавать реквизиты для чужих операций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Бакалавриат / специалитет</w:t>
            </w:r>
          </w:p>
        </w:tc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Право, деньги, риск</w:t>
            </w:r>
          </w:p>
        </w:tc>
        <w:tc>
          <w:tcPr>
            <w:tcW w:type="dxa" w:w="28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ПОД/ФТ, цифровые доказательства, комплаенс, маршрут защиты</w:t>
            </w:r>
          </w:p>
        </w:tc>
        <w:tc>
          <w:tcPr>
            <w:tcW w:type="dxa" w:w="28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классифицировать риск, сохранить материалы и определить компетентный адресат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Магистратура</w:t>
            </w:r>
          </w:p>
        </w:tc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Комплаенс-конструктор</w:t>
            </w:r>
          </w:p>
        </w:tc>
        <w:tc>
          <w:tcPr>
            <w:tcW w:type="dxa" w:w="28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риск-ориентированный подход, контроль, третьи лица, инцидент</w:t>
            </w:r>
          </w:p>
        </w:tc>
        <w:tc>
          <w:tcPr>
            <w:tcW w:type="dxa" w:w="28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спроектировать соразмерные меры и измеримый контроль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Государственная и муниципальная служба</w:t>
            </w:r>
          </w:p>
        </w:tc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Публичная служба без финансовых рисков</w:t>
            </w:r>
          </w:p>
        </w:tc>
        <w:tc>
          <w:tcPr>
            <w:tcW w:type="dxa" w:w="285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служебные данные, публичные средства, конфликт интересов</w:t>
            </w:r>
          </w:p>
        </w:tc>
        <w:tc>
          <w:tcPr>
            <w:tcW w:type="dxa" w:w="281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отказаться от опасного действия, зафиксировать и доложить по компетенции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Граждане</w:t>
            </w:r>
          </w:p>
        </w:tc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Защита личных финансов</w:t>
            </w:r>
          </w:p>
        </w:tc>
        <w:tc>
          <w:tcPr>
            <w:tcW w:type="dxa" w:w="285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списания, звонки, ссылки, платежи, обращение за защитой</w:t>
            </w:r>
          </w:p>
        </w:tc>
        <w:tc>
          <w:tcPr>
            <w:tcW w:type="dxa" w:w="281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6"/>
              </w:rPr>
              <w:t>заблокировать риск, связаться с официальной организацией и сохранить доказательства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10. Межпоколенческое обучение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Портал построен как система обучения на протяжении всей жизни. Школьник осваивает защиту кодов и обращение к взрослому; студент — безопасность трудоустройства, платежей и цифровых доказательств; специалист — контроль и комплаенс; гражданин — защиту личных финансов. Единый язык безопасных действий позволяет поколениям помогать друг другу и переносить навык в семью, образовательную организацию и профессиональное сообщество.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769"/>
      </w:tblGrid>
      <w:tr>
        <w:trPr>
          <w:tblHeader w:val="true"/>
          <w:cantSplit/>
        </w:trP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Связь поколений</w:t>
            </w:r>
          </w:p>
        </w:tc>
        <w:tc>
          <w:tcPr>
            <w:tcW w:type="dxa" w:w="67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Практическая форма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Ребёнок — родитель</w:t>
            </w:r>
          </w:p>
        </w:tc>
        <w:tc>
          <w:tcPr>
            <w:tcW w:type="dxa" w:w="6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совместный разбор запроса кода, покупки или игрового предложения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Студент — семья</w:t>
            </w:r>
          </w:p>
        </w:tc>
        <w:tc>
          <w:tcPr>
            <w:tcW w:type="dxa" w:w="6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проверка звонка, ссылки, списания или сомнительной инвестиции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Студент — университет</w:t>
            </w:r>
          </w:p>
        </w:tc>
        <w:tc>
          <w:tcPr>
            <w:tcW w:type="dxa" w:w="6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исследование кейсов и обновление библиотек под экспертным руководством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Специалист — организация</w:t>
            </w:r>
          </w:p>
        </w:tc>
        <w:tc>
          <w:tcPr>
            <w:tcW w:type="dxa" w:w="6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перенос алгоритма в служебные регламенты и контрольные точки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Международные участники</w:t>
            </w:r>
          </w:p>
        </w:tc>
        <w:tc>
          <w:tcPr>
            <w:tcW w:type="dxa" w:w="6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сопоставление типологий угроз при раздельной правовой локализации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11. Университетская лаборатория цифровой финансовой безопасности</w:t>
      </w:r>
    </w:p>
    <w:p>
      <w:pPr>
        <w:pStyle w:val="Heading2"/>
        <w:keepNext/>
      </w:pPr>
      <w:r>
        <w:t>11.1. Статус и назначение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ФинАвангард предлагает создать при Северо-Кавказском филиале РГУП им. В. М. Лебедева Университетскую лабораторию цифровой финансовой безопасности. Её предметом является не абстрактное накопление материалов, а постоянная работа с новыми финансовыми схемами, киберугрозами, правовыми изменениями и ошибками поведения пользователей.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969"/>
      </w:tblGrid>
      <w:tr>
        <w:trPr>
          <w:tblHeader w:val="true"/>
          <w:cantSplit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Функция</w:t>
            </w:r>
          </w:p>
        </w:tc>
        <w:tc>
          <w:tcPr>
            <w:tcW w:type="dxa" w:w="69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Мониторинг</w:t>
            </w:r>
          </w:p>
        </w:tc>
        <w:tc>
          <w:tcPr>
            <w:tcW w:type="dxa" w:w="69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зафиксированная новая схема, киберугроза, правовое изменение или пробел в поведении</w:t>
            </w:r>
          </w:p>
        </w:tc>
      </w:tr>
      <w:tr>
        <w:trPr>
          <w:cantSplit/>
        </w:trPr>
        <w:tc>
          <w:tcPr>
            <w:tcW w:type="dxa" w:w="2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Коллегиальный разбор</w:t>
            </w:r>
          </w:p>
        </w:tc>
        <w:tc>
          <w:tcPr>
            <w:tcW w:type="dxa" w:w="69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совместная оценка права, финансов, киберриска и международного контекста</w:t>
            </w:r>
          </w:p>
        </w:tc>
      </w:tr>
      <w:tr>
        <w:trPr>
          <w:cantSplit/>
        </w:trPr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Конструирование кейса</w:t>
            </w:r>
          </w:p>
        </w:tc>
        <w:tc>
          <w:tcPr>
            <w:tcW w:type="dxa" w:w="69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ситуация, варианты решений, последствия и обратная связь</w:t>
            </w:r>
          </w:p>
        </w:tc>
      </w:tr>
      <w:tr>
        <w:trPr>
          <w:cantSplit/>
        </w:trPr>
        <w:tc>
          <w:tcPr>
            <w:tcW w:type="dxa" w:w="2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Экспертный допуск</w:t>
            </w:r>
          </w:p>
        </w:tc>
        <w:tc>
          <w:tcPr>
            <w:tcW w:type="dxa" w:w="69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заключение модератора до публикации</w:t>
            </w:r>
          </w:p>
        </w:tc>
      </w:tr>
      <w:tr>
        <w:trPr>
          <w:cantSplit/>
        </w:trPr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Анализ результатов</w:t>
            </w:r>
          </w:p>
        </w:tc>
        <w:tc>
          <w:tcPr>
            <w:tcW w:type="dxa" w:w="69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обезличенная структура ошибок и предложения по обновлению</w:t>
            </w:r>
          </w:p>
        </w:tc>
      </w:tr>
      <w:tr>
        <w:trPr>
          <w:cantSplit/>
        </w:trPr>
        <w:tc>
          <w:tcPr>
            <w:tcW w:type="dxa" w:w="2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Профессиональное развитие</w:t>
            </w:r>
          </w:p>
        </w:tc>
        <w:tc>
          <w:tcPr>
            <w:tcW w:type="dxa" w:w="69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участники одновременно повышают компетентность и создают общественно полезный продукт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11.2. Конвейер актуализации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Получить сигнал о новой угрозе, норме, практике или типовой ошибке.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Найти официальный либо иной проверяемый первоисточник и зафиксировать страну и дату.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Определить аудиторию, актив, уязвимость и точку решения.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Сконструировать опасные, менее опасные и безопасные варианты без нормализации вредного поведения.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Подготовить объяснение последствий, безопасную стратегию и компетентный маршрут.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Провести методическую, финансовую, правовую, редакционную и техническую проверку.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Получить заключение модератора и присвоить номер версии.</w:t>
      </w:r>
    </w:p>
    <w:p>
      <w:pPr>
        <w:numPr>
          <w:ilvl w:val="0"/>
          <w:numId w:val="13"/>
        </w:numPr>
        <w:spacing w:after="80" w:line="276" w:lineRule="auto"/>
      </w:pPr>
      <w:r>
        <w:rPr>
          <w:rFonts w:ascii="Times New Roman" w:hAnsi="Times New Roman" w:eastAsia="Times New Roman"/>
        </w:rPr>
        <w:t>Обновить образовательный модуль, кейс-симулятор, ответы, рекомендации досье и параллельный кейс на 90-й день.</w:t>
      </w:r>
    </w:p>
    <w:p>
      <w:pPr>
        <w:pStyle w:val="Heading2"/>
        <w:keepNext/>
      </w:pPr>
      <w:r>
        <w:t>11.3. Модератор университетской лаборатории как последняя инстанция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DDF2E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ПРИНЦИП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Автоматизированная система и ИИ могут выявлять закономерности, группировать источники, находить противоречия и предлагать черновую гипотезу. Окончательное правовое и методическое заключение, допуск кейса и публикацию утверждает модератор проектируемой университетской лаборатории.</w:t>
            </w:r>
          </w:p>
        </w:tc>
      </w:tr>
    </w:tbl>
    <w:p>
      <w:pPr>
        <w:spacing w:after="4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Такой порядок снижает риск автоматической публикации устаревшей нормы, ошибочного перевода, опасной рекомендации или недостоверной интерпретации. Заключение должно быть датировано и связано с конкретной версией материала.</w:t>
      </w:r>
    </w:p>
    <w:p>
      <w:pPr>
        <w:pStyle w:val="Heading1"/>
        <w:keepNext/>
      </w:pPr>
      <w:r>
        <w:t>12. Живые библиотеки угроз и источников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Портал содержит две взаимосвязанные библиотеки. Библиотека угроз описывает типологии риска и модели обмана; библиотека источников показывает, на основании чего сформулирована рекомендация. Каждое существенное изменение угрозы запускает проверку связанного поведения, а не только замену текста.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169"/>
      </w:tblGrid>
      <w:tr>
        <w:trPr>
          <w:tblHeader w:val="true"/>
          <w:cantSplit/>
        </w:trPr>
        <w:tc>
          <w:tcPr>
            <w:tcW w:type="dxa" w:w="23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Объект</w:t>
            </w:r>
          </w:p>
        </w:tc>
        <w:tc>
          <w:tcPr>
            <w:tcW w:type="dxa" w:w="71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Обязательные поля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Угроза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название, тип, аудитория, уязвимость, сценарий давления, финансовый актив, последствия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Безопасная стратегия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пауза, защита доступа, независимая проверка, действие, фиксация и обращение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Источник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организация, название, ссылка, страна, дата публикации, дата проверки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Правовой контекст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юрисдикция, норма или официальное разъяснение, пределы применимости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Версия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идентификатор, дата изменения, автор изменения, модератор, причина обновления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Связанные материалы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образовательная траектория, кейс, вопрос, досье, параллельный кейс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13. Международная адаптация и языки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Интернациональный характер проекта означает не механический перевод российского материала, а отдельную адаптацию языка, угроз, финансовой инфраструктуры, культурного контекста, правовой нормы и экспертной оценки каждой страны. Переключатель языка не меняет применимое право автоматически.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800"/>
        <w:gridCol w:w="5769"/>
      </w:tblGrid>
      <w:tr>
        <w:trPr>
          <w:tblHeader w:val="true"/>
          <w:cantSplit/>
        </w:trPr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Язык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57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Юрисдикционная оговорка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Русский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полная версия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Правовой модуль: Российская Федерация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Английский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полная версия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Правовой модуль: Российская Федерация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Казахский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Армянский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Азербайджанский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Арабский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Белорусский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Грузинский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Испанский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Киргизский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Португальский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Суахили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Таджикский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Узбекский</w:t>
            </w:r>
          </w:p>
        </w:tc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  <w:tr>
        <w:trPr>
          <w:cantSplit/>
        </w:trPr>
        <w:tc>
          <w:tcPr>
            <w:tcW w:type="dxa" w:w="19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Французский</w:t>
            </w:r>
          </w:p>
        </w:tc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бета-интерфейс</w:t>
            </w:r>
          </w:p>
        </w:tc>
        <w:tc>
          <w:tcPr>
            <w:tcW w:type="dxa" w:w="5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требуется локальная правовая экспертиза</w:t>
            </w:r>
          </w:p>
        </w:tc>
      </w:tr>
    </w:tbl>
    <w:p>
      <w:pPr>
        <w:spacing w:after="20"/>
      </w:pP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ПРАВИЛО ПУБЛИКАЦИИ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Бета-локализация может облегчать навигацию, но полный учебный и правовой материал публикуется только после проверки носителем языка и специалистом соответствующей юрисдикции.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14. Команда и распределение ролей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Команда одновременно разрабатывает портал и апробирует модель будущей университетской лаборатории. Роли сформулированы по фактическим направлениям работы текущей редакции проекта.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2500"/>
        <w:gridCol w:w="4269"/>
      </w:tblGrid>
      <w:tr>
        <w:trPr>
          <w:tblHeader w:val="true"/>
          <w:cantSplit/>
        </w:trP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Ф. И. О.</w:t>
            </w:r>
          </w:p>
        </w:tc>
        <w:tc>
          <w:tcPr>
            <w:tcW w:type="dxa" w:w="42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Зона ответственности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Наставник и научный руководитель</w:t>
            </w:r>
          </w:p>
        </w:tc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Васильева Евгения Григорьевна</w:t>
            </w:r>
          </w:p>
        </w:tc>
        <w:tc>
          <w:tcPr>
            <w:tcW w:type="dxa" w:w="4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научно-правовая экспертиза, методическое руководство и финальное экспертное заключение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Капитан команды; архитектор продукта и правовой модели</w:t>
            </w:r>
          </w:p>
        </w:tc>
        <w:tc>
          <w:tcPr>
            <w:tcW w:type="dxa" w:w="2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Варосян Михаил Арноевич</w:t>
            </w:r>
          </w:p>
        </w:tc>
        <w:tc>
          <w:tcPr>
            <w:tcW w:type="dxa" w:w="42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стратегия портала, структура образовательного модуля, правовой контур и координация проектируемой лаборатории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Аналитик международных угроз и сценариев</w:t>
            </w:r>
          </w:p>
        </w:tc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Прибылов Александр Александрович</w:t>
            </w:r>
          </w:p>
        </w:tc>
        <w:tc>
          <w:tcPr>
            <w:tcW w:type="dxa" w:w="4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мониторинг новых схем, адаптация международного контекста и конструирование кейс-симуляторов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Редактор источников и качества цифрового продукта</w:t>
            </w:r>
          </w:p>
        </w:tc>
        <w:tc>
          <w:tcPr>
            <w:tcW w:type="dxa" w:w="2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Гриднев Никита Юрьевич</w:t>
            </w:r>
          </w:p>
        </w:tc>
        <w:tc>
          <w:tcPr>
            <w:tcW w:type="dxa" w:w="42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проверка первоисточников, журнал актуализации, тестирование логики и доступности портала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Редактор образовательной коммуникации и творческих форматов</w:t>
            </w:r>
          </w:p>
        </w:tc>
        <w:tc>
          <w:tcPr>
            <w:tcW w:type="dxa" w:w="2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Прасолова Ксения Николаевна</w:t>
            </w:r>
          </w:p>
        </w:tc>
        <w:tc>
          <w:tcPr>
            <w:tcW w:type="dxa" w:w="42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понятный язык, творческая подача, визуальная коммуникация и связь с аудиторией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15. Правовая, этическая и информационная модель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169"/>
      </w:tblGrid>
      <w:tr>
        <w:trPr>
          <w:tblHeader w:val="true"/>
          <w:cantSplit/>
        </w:trPr>
        <w:tc>
          <w:tcPr>
            <w:tcW w:type="dxa" w:w="23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Принцип</w:t>
            </w:r>
          </w:p>
        </w:tc>
        <w:tc>
          <w:tcPr>
            <w:tcW w:type="dxa" w:w="71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Реализация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Информационный статус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материалы не являются индивидуальной финансовой, инвестиционной, страховой или юридической консультацией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Минимизация данных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для младших пользователей — имя или псевдоним и класс; полный профиль — только при определённой цели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Текущий локальный режим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данные формы остаются в памяти браузера; результат и черновик эссе сохраняются локально и не отправляются на сервер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Будущий серверный режим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отдельная политика, согласие, законное основание, сроки, защита, удаление и проверка требований к локализации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Несовершеннолетние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безопасный гостевой режим; участие законного представителя при передаче персональных данных или публикации работы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Прозрачность ИИ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автоматизация не выдаётся за человеческую экспертизу</w:t>
            </w:r>
          </w:p>
        </w:tc>
      </w:tr>
      <w:tr>
        <w:trPr>
          <w:cantSplit/>
        </w:trPr>
        <w:tc>
          <w:tcPr>
            <w:tcW w:type="dxa" w:w="2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Недискриминация</w:t>
            </w:r>
          </w:p>
        </w:tc>
        <w:tc>
          <w:tcPr>
            <w:tcW w:type="dxa" w:w="71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учебное досье не используется для кредита, трудоустройства, допуска к услуге или оценки благонадёжности</w:t>
            </w:r>
          </w:p>
        </w:tc>
      </w:tr>
      <w:tr>
        <w:trPr>
          <w:cantSplit/>
        </w:trPr>
        <w:tc>
          <w:tcPr>
            <w:tcW w:type="dxa" w:w="2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Версионирование</w:t>
            </w:r>
          </w:p>
        </w:tc>
        <w:tc>
          <w:tcPr>
            <w:tcW w:type="dxa" w:w="71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каждый правовой и методический материал имеет дату проверки и историю изменений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16. Сертификат и границы образовательного статуса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После выполнения предусмотренных заданий портал может сформировать сертификат о прохождении информационного курса. Сертификат содержит название траектории, имя или допустимый псевдоним, дату, результат текущей сессии и проверочный идентификатор, если такая функция реализована законно.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ОБЯЗАТЕЛЬНАЯ ФОРМУЛИРОВКА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Сертификат подтверждает прохождение информационного курса и выполнение предусмотренных учебных заданий. Не является документом об образовании и (или) о квалификации.</w:t>
            </w:r>
          </w:p>
        </w:tc>
      </w:tr>
    </w:tbl>
    <w:p>
      <w:pPr>
        <w:spacing w:after="4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Программа дополнительного профессионального образования, присвоение квалификации или выдача документа установленного образовательного статуса возможны только в отдельном лицензированном и институционально утверждённом контуре.</w:t>
      </w:r>
    </w:p>
    <w:p>
      <w:pPr>
        <w:pStyle w:val="Heading1"/>
        <w:keepNext/>
      </w:pPr>
      <w:r>
        <w:t>17. Текущая версия, пилот и целевая архитектура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734"/>
        <w:gridCol w:w="4735"/>
      </w:tblGrid>
      <w:tr>
        <w:trPr>
          <w:tblHeader w:val="true"/>
          <w:cantSplit/>
        </w:trPr>
        <w:tc>
          <w:tcPr>
            <w:tcW w:type="dxa" w:w="4734"/>
            <w:tcMar>
              <w:top w:w="90" w:type="dxa"/>
              <w:start w:w="120" w:type="dxa"/>
              <w:bottom w:w="90" w:type="dxa"/>
              <w:end w:w="120" w:type="dxa"/>
            </w:tcMar>
            <w:shd w:fill="0B8A64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Текущая публичная версия</w:t>
            </w:r>
          </w:p>
        </w:tc>
        <w:tc>
          <w:tcPr>
            <w:tcW w:type="dxa" w:w="4735"/>
            <w:tcMar>
              <w:top w:w="90" w:type="dxa"/>
              <w:start w:w="120" w:type="dxa"/>
              <w:bottom w:w="90" w:type="dxa"/>
              <w:end w:w="120" w:type="dxa"/>
            </w:tcMar>
            <w:shd w:fill="0B8A64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Целевая проектная архитектура</w:t>
            </w:r>
          </w:p>
        </w:tc>
      </w:tr>
      <w:tr>
        <w:trPr>
          <w:cantSplit/>
        </w:trPr>
        <w:tc>
          <w:tcPr>
            <w:tcW w:type="dxa" w:w="4734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Восемь траекторий, русская и английская полные версии, 13 бета-интерфейсов, кейс по каждой траектории, пять контрольных вопросов, локальное досье результата и дата повторения через 90 дней, локальный черновик эссе, библиотеки и экспресс-маршрут.</w:t>
            </w:r>
          </w:p>
        </w:tc>
        <w:tc>
          <w:tcPr>
            <w:tcW w:type="dxa" w:w="4735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Полная входная и итоговая диагностика, защищённая учётная запись, серверное досье, напоминания, отправка эссе, модерация, обезличенная аналитика, лабораторный журнал, локальные правовые модули и независимые международные пилоты.</w:t>
            </w:r>
          </w:p>
        </w:tc>
      </w:tr>
    </w:tbl>
    <w:p>
      <w:pPr>
        <w:spacing w:after="2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Такое разделение защищает проект от двух крайностей: недооценки уже работающего прототипа и завышения функций, которые пока только спроектированы. Любая публичная презентация должна сохранять это разграничение.</w:t>
      </w:r>
    </w:p>
    <w:p>
      <w:pPr>
        <w:pStyle w:val="Heading1"/>
        <w:keepNext/>
      </w:pPr>
      <w:r>
        <w:t>18. План пилотирования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4200"/>
        <w:gridCol w:w="3769"/>
      </w:tblGrid>
      <w:tr>
        <w:trPr>
          <w:tblHeader w:val="true"/>
          <w:cantSplit/>
        </w:trPr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42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7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Подготовка</w:t>
            </w:r>
          </w:p>
        </w:tc>
        <w:tc>
          <w:tcPr>
            <w:tcW w:type="dxa" w:w="4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экспертная проверка кейсов, рубрик, согласий и технического контура</w:t>
            </w:r>
          </w:p>
        </w:tc>
        <w:tc>
          <w:tcPr>
            <w:tcW w:type="dxa" w:w="3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версия пилота</w:t>
            </w:r>
          </w:p>
        </w:tc>
      </w:tr>
      <w:tr>
        <w:trPr>
          <w:cantSplit/>
        </w:trPr>
        <w:tc>
          <w:tcPr>
            <w:tcW w:type="dxa" w:w="1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B0</w:t>
            </w:r>
          </w:p>
        </w:tc>
        <w:tc>
          <w:tcPr>
            <w:tcW w:type="dxa" w:w="4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входной параллельный кейс до обучения</w:t>
            </w:r>
          </w:p>
        </w:tc>
        <w:tc>
          <w:tcPr>
            <w:tcW w:type="dxa" w:w="3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исходное поведение</w:t>
            </w:r>
          </w:p>
        </w:tc>
      </w:tr>
      <w:tr>
        <w:trPr>
          <w:cantSplit/>
        </w:trPr>
        <w:tc>
          <w:tcPr>
            <w:tcW w:type="dxa" w:w="1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Обучение</w:t>
            </w:r>
          </w:p>
        </w:tc>
        <w:tc>
          <w:tcPr>
            <w:tcW w:type="dxa" w:w="4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модуль, кейс, обратная связь, итоговое задание</w:t>
            </w:r>
          </w:p>
        </w:tc>
        <w:tc>
          <w:tcPr>
            <w:tcW w:type="dxa" w:w="3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B1, ошибки и письменная аргументация</w:t>
            </w:r>
          </w:p>
        </w:tc>
      </w:tr>
      <w:tr>
        <w:trPr>
          <w:cantSplit/>
        </w:trPr>
        <w:tc>
          <w:tcPr>
            <w:tcW w:type="dxa" w:w="1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14/30 дней</w:t>
            </w:r>
          </w:p>
        </w:tc>
        <w:tc>
          <w:tcPr>
            <w:tcW w:type="dxa" w:w="4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короткие адресные повторения в целевой версии</w:t>
            </w:r>
          </w:p>
        </w:tc>
        <w:tc>
          <w:tcPr>
            <w:tcW w:type="dxa" w:w="3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наблюдение переноса</w:t>
            </w:r>
          </w:p>
        </w:tc>
      </w:tr>
      <w:tr>
        <w:trPr>
          <w:cantSplit/>
        </w:trPr>
        <w:tc>
          <w:tcPr>
            <w:tcW w:type="dxa" w:w="1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90 дней</w:t>
            </w:r>
          </w:p>
        </w:tc>
        <w:tc>
          <w:tcPr>
            <w:tcW w:type="dxa" w:w="4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новый кейс того же домена</w:t>
            </w:r>
          </w:p>
        </w:tc>
        <w:tc>
          <w:tcPr>
            <w:tcW w:type="dxa" w:w="3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K90, L90 и изменение слабых зон</w:t>
            </w:r>
          </w:p>
        </w:tc>
      </w:tr>
      <w:tr>
        <w:trPr>
          <w:cantSplit/>
        </w:trPr>
        <w:tc>
          <w:tcPr>
            <w:tcW w:type="dxa" w:w="15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Анализ</w:t>
            </w:r>
          </w:p>
        </w:tc>
        <w:tc>
          <w:tcPr>
            <w:tcW w:type="dxa" w:w="4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обезличенное сравнение групп и структуры ошибок</w:t>
            </w:r>
          </w:p>
        </w:tc>
        <w:tc>
          <w:tcPr>
            <w:tcW w:type="dxa" w:w="37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предложения по улучшению</w:t>
            </w:r>
          </w:p>
        </w:tc>
      </w:tr>
      <w:tr>
        <w:trPr>
          <w:cantSplit/>
        </w:trPr>
        <w:tc>
          <w:tcPr>
            <w:tcW w:type="dxa" w:w="15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Релиз</w:t>
            </w:r>
          </w:p>
        </w:tc>
        <w:tc>
          <w:tcPr>
            <w:tcW w:type="dxa" w:w="4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заключение модератора и журнал изменений</w:t>
            </w:r>
          </w:p>
        </w:tc>
        <w:tc>
          <w:tcPr>
            <w:tcW w:type="dxa" w:w="37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следующая версия портала</w:t>
            </w:r>
          </w:p>
        </w:tc>
      </w:tr>
    </w:tbl>
    <w:p>
      <w:pPr>
        <w:spacing w:after="2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Пилот должен заранее определить выборку, правила включения и исключения, порядок согласия, допустимые выводы и метод анализа выбывания. Без этих параметров данные портала являются продуктовой аналитикой, а не доказательством причинного образовательного эффекта.</w:t>
      </w:r>
    </w:p>
    <w:p>
      <w:pPr>
        <w:pStyle w:val="Heading1"/>
        <w:keepNext/>
      </w:pPr>
      <w:r>
        <w:t>19. Показатели качества и общественного эффекта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7069"/>
      </w:tblGrid>
      <w:tr>
        <w:trPr>
          <w:tblHeader w:val="true"/>
          <w:cantSplit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Группа</w:t>
            </w:r>
          </w:p>
        </w:tc>
        <w:tc>
          <w:tcPr>
            <w:tcW w:type="dxa" w:w="70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Показатели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Охват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число начатых и завершённых траекторий; распределение по аудиториям и языкам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Безопасное поведение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S(B0), S(B1), Δ, опасные решения и доменные слабости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Аргументация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результат эссе и типовые ошибки рассуждения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Сохранение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доля возврата на 90-й день, K90, L90, перенос в новый контекст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Качество контента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число подтверждённых ошибок, время исправления, доля кейсов с актуальной проверкой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Доступность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прохождение с клавиатуры, читаемость, субтитры, понятность языка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Общественный эффект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обезличенные типологии риска и число обновлений, созданных лабораторией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20. План развития и масштабирования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4100"/>
        <w:gridCol w:w="3569"/>
      </w:tblGrid>
      <w:tr>
        <w:trPr>
          <w:tblHeader w:val="true"/>
          <w:cantSplit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41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Содержание</w:t>
            </w:r>
          </w:p>
        </w:tc>
        <w:tc>
          <w:tcPr>
            <w:tcW w:type="dxa" w:w="35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Критерий перехода</w:t>
            </w:r>
          </w:p>
        </w:tc>
      </w:tr>
      <w:tr>
        <w:trPr>
          <w:cantSplit/>
        </w:trPr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1. Публичный прототип</w:t>
            </w:r>
          </w:p>
        </w:tc>
        <w:tc>
          <w:tcPr>
            <w:tcW w:type="dxa" w:w="4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восемь траекторий, базовые кейсы, локальное досье, библиотеки</w:t>
            </w:r>
          </w:p>
        </w:tc>
        <w:tc>
          <w:tcPr>
            <w:tcW w:type="dxa" w:w="3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техническая стабильность и единая терминология</w:t>
            </w:r>
          </w:p>
        </w:tc>
      </w:tr>
      <w:tr>
        <w:trPr>
          <w:cantSplit/>
        </w:trPr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2. Университетский пилот</w:t>
            </w:r>
          </w:p>
        </w:tc>
        <w:tc>
          <w:tcPr>
            <w:tcW w:type="dxa" w:w="4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B0/B1, эссе, 90-дневный контроль, экспертная проверка</w:t>
            </w:r>
          </w:p>
        </w:tc>
        <w:tc>
          <w:tcPr>
            <w:tcW w:type="dxa" w:w="3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достаточные данные о понятности и ошибках</w:t>
            </w:r>
          </w:p>
        </w:tc>
      </w:tr>
      <w:tr>
        <w:trPr>
          <w:cantSplit/>
        </w:trPr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3. Институционализация</w:t>
            </w:r>
          </w:p>
        </w:tc>
        <w:tc>
          <w:tcPr>
            <w:tcW w:type="dxa" w:w="4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утверждение положения, состава и регламента лаборатории</w:t>
            </w:r>
          </w:p>
        </w:tc>
        <w:tc>
          <w:tcPr>
            <w:tcW w:type="dxa" w:w="3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решение уполномоченного органа университета</w:t>
            </w:r>
          </w:p>
        </w:tc>
      </w:tr>
      <w:tr>
        <w:trPr>
          <w:cantSplit/>
        </w:trPr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4. Российское расширение</w:t>
            </w:r>
          </w:p>
        </w:tc>
        <w:tc>
          <w:tcPr>
            <w:tcW w:type="dxa" w:w="4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партнёрские образовательные организации и возрастные группы</w:t>
            </w:r>
          </w:p>
        </w:tc>
        <w:tc>
          <w:tcPr>
            <w:tcW w:type="dxa" w:w="3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воспроизводимость методики</w:t>
            </w:r>
          </w:p>
        </w:tc>
      </w:tr>
      <w:tr>
        <w:trPr>
          <w:cantSplit/>
        </w:trPr>
        <w:tc>
          <w:tcPr>
            <w:tcW w:type="dxa" w:w="18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5. Межюрисдикционная адаптация</w:t>
            </w:r>
          </w:p>
        </w:tc>
        <w:tc>
          <w:tcPr>
            <w:tcW w:type="dxa" w:w="4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язык, угрозы, право и эксперты каждой страны</w:t>
            </w:r>
          </w:p>
        </w:tc>
        <w:tc>
          <w:tcPr>
            <w:tcW w:type="dxa" w:w="35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локальная экспертная валидация</w:t>
            </w:r>
          </w:p>
        </w:tc>
      </w:tr>
      <w:tr>
        <w:trPr>
          <w:cantSplit/>
        </w:trPr>
        <w:tc>
          <w:tcPr>
            <w:tcW w:type="dxa" w:w="18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6. Международная рамка</w:t>
            </w:r>
          </w:p>
        </w:tc>
        <w:tc>
          <w:tcPr>
            <w:tcW w:type="dxa" w:w="4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сопоставимые кейсы, метрики, аудит качества и открытая методология</w:t>
            </w:r>
          </w:p>
        </w:tc>
        <w:tc>
          <w:tcPr>
            <w:tcW w:type="dxa" w:w="35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независимое межорганизационное согласование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21. Риски проекта и меры управления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2700"/>
        <w:gridCol w:w="4069"/>
      </w:tblGrid>
      <w:tr>
        <w:trPr>
          <w:tblHeader w:val="true"/>
          <w:cantSplit/>
        </w:trP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Последствие</w:t>
            </w:r>
          </w:p>
        </w:tc>
        <w:tc>
          <w:tcPr>
            <w:tcW w:type="dxa" w:w="40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Мера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Назвать лабораторию учреждённой без акта</w:t>
            </w:r>
          </w:p>
        </w:tc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юридическая и репутационная ошибка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использовать термин «проектируемая» до официального решения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Объявить проект международным стандартом</w:t>
            </w:r>
          </w:p>
        </w:tc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завышение статуса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говорить о целевой рамке и будущей независимой проверке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Смешать интерфейс и право</w:t>
            </w:r>
          </w:p>
        </w:tc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применение нормы другой страны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отдельная маркировка юрисдикции и локальная экспертиза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Опубликовать устаревший кейс</w:t>
            </w:r>
          </w:p>
        </w:tc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опасная рекомендация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версия, дата, первоисточник, триггер обновления и заключение модератора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Считать 90 дней гарантией</w:t>
            </w:r>
          </w:p>
        </w:tc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научная недостоверность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определять 90 дней только как контрольную точку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Избыточно собирать данные</w:t>
            </w:r>
          </w:p>
        </w:tc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нарушение прав и утрата доверия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гостевой режим, минимизация, локальная обработка и отдельный правовой контур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Выдать автоматический вывод за экспертизу</w:t>
            </w:r>
          </w:p>
        </w:tc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ошибочное доверие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человеческое заключение как последняя инстанция</w:t>
            </w:r>
          </w:p>
        </w:tc>
      </w:tr>
      <w:tr>
        <w:trPr>
          <w:cantSplit/>
        </w:trPr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Превратить досье в рейтинг</w:t>
            </w:r>
          </w:p>
        </w:tc>
        <w:tc>
          <w:tcPr>
            <w:tcW w:type="dxa" w:w="27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дискриминация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запрет внешнего скоринга и только учебная цель</w:t>
            </w:r>
          </w:p>
        </w:tc>
      </w:tr>
      <w:tr>
        <w:trPr>
          <w:cantSplit/>
        </w:trPr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Сертификат принять за квалификацию</w:t>
            </w:r>
          </w:p>
        </w:tc>
        <w:tc>
          <w:tcPr>
            <w:tcW w:type="dxa" w:w="27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введение в заблуждение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прямая статусная оговорка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22. Переход к международному стандарту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Целевая модель проекта — переход от университетского пилота к доказательной международной рамке финансово безопасного поведения. Стандартизироваться должны не конкретные российские ответы, а метод: паспорт угрозы, наблюдаемая точка решения, уровни риска, объясняющая обратная связь, рубрика оценки, контроль переноса, версия источника и человеческий экспертный допуск.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734"/>
        <w:gridCol w:w="4735"/>
      </w:tblGrid>
      <w:tr>
        <w:trPr>
          <w:tblHeader w:val="true"/>
          <w:cantSplit/>
        </w:trPr>
        <w:tc>
          <w:tcPr>
            <w:tcW w:type="dxa" w:w="4734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Единое ядро</w:t>
            </w:r>
          </w:p>
        </w:tc>
        <w:tc>
          <w:tcPr>
            <w:tcW w:type="dxa" w:w="4735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  <w:t>Национальная адаптация</w:t>
            </w:r>
          </w:p>
        </w:tc>
      </w:tr>
      <w:tr>
        <w:trPr>
          <w:cantSplit/>
        </w:trPr>
        <w:tc>
          <w:tcPr>
            <w:tcW w:type="dxa" w:w="4734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пять действий безопасности</w:t>
            </w:r>
          </w:p>
        </w:tc>
        <w:tc>
          <w:tcPr>
            <w:tcW w:type="dxa" w:w="4735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официальные каналы и компетентные органы</w:t>
            </w:r>
          </w:p>
        </w:tc>
      </w:tr>
      <w:tr>
        <w:trPr>
          <w:cantSplit/>
        </w:trPr>
        <w:tc>
          <w:tcPr>
            <w:tcW w:type="dxa" w:w="4734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структура кейса и уровни риска</w:t>
            </w:r>
          </w:p>
        </w:tc>
        <w:tc>
          <w:tcPr>
            <w:tcW w:type="dxa" w:w="4735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типичные угрозы и финансовые инструменты страны</w:t>
            </w:r>
          </w:p>
        </w:tc>
      </w:tr>
      <w:tr>
        <w:trPr>
          <w:cantSplit/>
        </w:trPr>
        <w:tc>
          <w:tcPr>
            <w:tcW w:type="dxa" w:w="4734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метрики S, E, Δ, R, K90</w:t>
            </w:r>
          </w:p>
        </w:tc>
        <w:tc>
          <w:tcPr>
            <w:tcW w:type="dxa" w:w="4735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пороговые значения после локального пилота</w:t>
            </w:r>
          </w:p>
        </w:tc>
      </w:tr>
      <w:tr>
        <w:trPr>
          <w:cantSplit/>
        </w:trPr>
        <w:tc>
          <w:tcPr>
            <w:tcW w:type="dxa" w:w="4734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правило человеческого допуска</w:t>
            </w:r>
          </w:p>
        </w:tc>
        <w:tc>
          <w:tcPr>
            <w:tcW w:type="dxa" w:w="4735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состав и квалификация локальной экспертной группы</w:t>
            </w:r>
          </w:p>
        </w:tc>
      </w:tr>
      <w:tr>
        <w:trPr>
          <w:cantSplit/>
        </w:trPr>
        <w:tc>
          <w:tcPr>
            <w:tcW w:type="dxa" w:w="4734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версионирование и аудит</w:t>
            </w:r>
          </w:p>
        </w:tc>
        <w:tc>
          <w:tcPr>
            <w:tcW w:type="dxa" w:w="4735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9"/>
              </w:rPr>
              <w:t>язык, право и требования к данным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23. Итоговая формула проекта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DDF2E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0B8A64"/>
                <w:sz w:val="21"/>
              </w:rPr>
              <w:t xml:space="preserve">ГЛАВНАЯ МЫСЛЬ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ФинАвангард формирует не запас терминов, а финансовый иммунитет — устойчивые модели безопасного действия и способность применить их в нужный момент.</w:t>
            </w:r>
          </w:p>
        </w:tc>
      </w:tr>
    </w:tbl>
    <w:p>
      <w:pPr>
        <w:spacing w:after="4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Образовательный модуль даёт смысл; кейс-симулятор проверяет решение; обратная связь исправляет ход мысли; персональное учебное досье показывает слабые зоны; 90-дневный кейс проверяет сохранение; проектируемая университетская лаборатория обновляет угрозы и допускает материалы; международная адаптация переносит метод без смешения языков и правовых систем.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469"/>
      </w:tblGrid>
      <w:tr>
        <w:trPr>
          <w:tblHeader w:val="true"/>
        </w:trPr>
        <w:tc>
          <w:tcPr>
            <w:tcW w:type="dxa" w:w="9469"/>
            <w:tcMar>
              <w:top w:w="90" w:type="dxa"/>
              <w:start w:w="120" w:type="dxa"/>
              <w:bottom w:w="90" w:type="dxa"/>
              <w:end w:w="120" w:type="dxa"/>
            </w:tcMar>
            <w:shd w:fill="FFF1DF"/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color w:val="F28A22"/>
                <w:sz w:val="21"/>
              </w:rPr>
              <w:t xml:space="preserve">СЛОГАН  </w:t>
            </w:r>
            <w:r>
              <w:rPr>
                <w:rFonts w:ascii="Times New Roman" w:hAnsi="Times New Roman" w:eastAsia="Times New Roman"/>
                <w:b/>
                <w:color w:val="162B3A"/>
                <w:sz w:val="23"/>
              </w:rPr>
              <w:t>ПОНЯТЬ РИСК • ПРИНЯТЬ БЕЗОПАСНОЕ РЕШЕНИЕ • СОХРАНИТЬ НАВЫК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24. Научная, нормативная и информационная база</w:t>
      </w: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Источники проверены при подготовке документа по состоянию на 2 сентября 2026 года. Перед каждым релизом правового материала требуется повторная проверка действующей редакции нормы, официального источника и применимой юрисдикции.</w:t>
      </w:r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1. Официальный портал «ФинАвангард». </w:t>
      </w:r>
      <w:hyperlink r:id="rId12">
        <w:r>
          <w:rPr>
            <w:rFonts w:ascii="Times New Roman" w:hAnsi="Times New Roman" w:eastAsia="Times New Roman"/>
            <w:color w:val="0B8A64"/>
            <w:u w:val="single"/>
          </w:rPr>
          <w:t>https://finavangardgos.ru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2. Основные сведения о Северо-Кавказском филиале РГУП им. В. М. Лебедева. </w:t>
      </w:r>
      <w:hyperlink r:id="rId13">
        <w:r>
          <w:rPr>
            <w:rFonts w:ascii="Times New Roman" w:hAnsi="Times New Roman" w:eastAsia="Times New Roman"/>
            <w:color w:val="0B8A64"/>
            <w:u w:val="single"/>
          </w:rPr>
          <w:t>https://ncb.rgup.ru/sveden/common/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3. Стратегия повышения финансовой грамотности и формирования финансовой культуры до 2030 года. </w:t>
      </w:r>
      <w:hyperlink r:id="rId14">
        <w:r>
          <w:rPr>
            <w:rFonts w:ascii="Times New Roman" w:hAnsi="Times New Roman" w:eastAsia="Times New Roman"/>
            <w:color w:val="0B8A64"/>
            <w:u w:val="single"/>
          </w:rPr>
          <w:t>https://www.cbr.ru/analytics/szpp/fin_literacy/strategy/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4. OECD/INFE Toolkit for Measuring Financial Literacy, Inclusion and Well-Being 2026. </w:t>
      </w:r>
      <w:hyperlink r:id="rId15">
        <w:r>
          <w:rPr>
            <w:rFonts w:ascii="Times New Roman" w:hAnsi="Times New Roman" w:eastAsia="Times New Roman"/>
            <w:color w:val="0B8A64"/>
            <w:u w:val="single"/>
          </w:rPr>
          <w:t>https://doi.org/10.1787/92f2d439-en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5. OECD Recommendation of the Council on Financial Literacy. </w:t>
      </w:r>
      <w:hyperlink r:id="rId16">
        <w:r>
          <w:rPr>
            <w:rFonts w:ascii="Times New Roman" w:hAnsi="Times New Roman" w:eastAsia="Times New Roman"/>
            <w:color w:val="0B8A64"/>
            <w:u w:val="single"/>
          </w:rPr>
          <w:t>https://legalinstruments.oecd.org/en/instruments/OECD-LEGAL-0461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6. Банк России: информационная безопасность. </w:t>
      </w:r>
      <w:hyperlink r:id="rId17">
        <w:r>
          <w:rPr>
            <w:rFonts w:ascii="Times New Roman" w:hAnsi="Times New Roman" w:eastAsia="Times New Roman"/>
            <w:color w:val="0B8A64"/>
            <w:u w:val="single"/>
          </w:rPr>
          <w:t>https://www.cbr.ru/information_security/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7. Lally P. et al. How are habits formed: Modelling habit formation in the real world. </w:t>
      </w:r>
      <w:hyperlink r:id="rId18">
        <w:r>
          <w:rPr>
            <w:rFonts w:ascii="Times New Roman" w:hAnsi="Times New Roman" w:eastAsia="Times New Roman"/>
            <w:color w:val="0B8A64"/>
            <w:u w:val="single"/>
          </w:rPr>
          <w:t>https://doi.org/10.1002/ejsp.674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8. Singh B. et al. Time to Form a Habit: A Systematic Review and Meta-Analysis. </w:t>
      </w:r>
      <w:hyperlink r:id="rId19">
        <w:r>
          <w:rPr>
            <w:rFonts w:ascii="Times New Roman" w:hAnsi="Times New Roman" w:eastAsia="Times New Roman"/>
            <w:color w:val="0B8A64"/>
            <w:u w:val="single"/>
          </w:rPr>
          <w:t>https://pmc.ncbi.nlm.nih.gov/articles/PMC11641623/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9. FATF: Update to Recommendation 16 on Payment Transparency, June 2025. </w:t>
      </w:r>
      <w:hyperlink r:id="rId20">
        <w:r>
          <w:rPr>
            <w:rFonts w:ascii="Times New Roman" w:hAnsi="Times New Roman" w:eastAsia="Times New Roman"/>
            <w:color w:val="0B8A64"/>
            <w:u w:val="single"/>
          </w:rPr>
          <w:t>https://www.fatf-gafi.org/en/publications/Fatfrecommendations/update-Recommendation-16-payment-transparency-june-2025.html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10. Евразийская группа по противодействию легализации преступных доходов и финансированию терроризма. </w:t>
      </w:r>
      <w:hyperlink r:id="rId21">
        <w:r>
          <w:rPr>
            <w:rFonts w:ascii="Times New Roman" w:hAnsi="Times New Roman" w:eastAsia="Times New Roman"/>
            <w:color w:val="0B8A64"/>
            <w:u w:val="single"/>
          </w:rPr>
          <w:t>https://www.eurasiangroup.org/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11. Федеральный закон от 27.07.2006 № 152-ФЗ «О персональных данных». </w:t>
      </w:r>
      <w:hyperlink r:id="rId22">
        <w:r>
          <w:rPr>
            <w:rFonts w:ascii="Times New Roman" w:hAnsi="Times New Roman" w:eastAsia="Times New Roman"/>
            <w:color w:val="0B8A64"/>
            <w:u w:val="single"/>
          </w:rPr>
          <w:t>https://www.consultant.ru/document/cons_doc_LAW_61801/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12. Федеральный закон от 27.07.2006 № 149-ФЗ «Об информации, информационных технологиях и о защите информации». </w:t>
      </w:r>
      <w:hyperlink r:id="rId23">
        <w:r>
          <w:rPr>
            <w:rFonts w:ascii="Times New Roman" w:hAnsi="Times New Roman" w:eastAsia="Times New Roman"/>
            <w:color w:val="0B8A64"/>
            <w:u w:val="single"/>
          </w:rPr>
          <w:t>https://www.consultant.ru/document/cons_doc_LAW_61798/</w:t>
        </w:r>
      </w:hyperlink>
    </w:p>
    <w:p>
      <w:pPr>
        <w:spacing w:after="80"/>
        <w:ind w:left="454" w:hanging="454"/>
      </w:pPr>
      <w:r>
        <w:rPr>
          <w:rFonts w:ascii="Times New Roman" w:hAnsi="Times New Roman" w:eastAsia="Times New Roman"/>
          <w:sz w:val="21"/>
        </w:rPr>
        <w:t xml:space="preserve">13. Федеральный закон от 29.12.2012 № 273-ФЗ «Об образовании в Российской Федерации». </w:t>
      </w:r>
      <w:hyperlink r:id="rId24">
        <w:r>
          <w:rPr>
            <w:rFonts w:ascii="Times New Roman" w:hAnsi="Times New Roman" w:eastAsia="Times New Roman"/>
            <w:color w:val="0B8A64"/>
            <w:u w:val="single"/>
          </w:rPr>
          <w:t>https://www.consultant.ru/document/cons_doc_LAW_140174/</w:t>
        </w:r>
      </w:hyperlink>
    </w:p>
    <w:p>
      <w:pPr>
        <w:pStyle w:val="Heading1"/>
        <w:keepNext/>
      </w:pPr>
      <w:r>
        <w:t>Приложение 1. Паспорт кейса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7069"/>
      </w:tblGrid>
      <w:tr>
        <w:trPr>
          <w:tblHeader w:val="true"/>
          <w:cantSplit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70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Обязательное содержание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Идентификатор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уникальный код и номер версии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Аудитория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возрастная или профессиональная траектория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Источник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название, ссылка, страна, дата публикации и дата проверки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Контекст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события до точки выбора; только необходимые данные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Уязвимость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срочность, страх, авторитет, выгода или дефицит информации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Точка решения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одно или несколько наблюдаемых действий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Варианты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опасный, менее опасный и безопасный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Обратная связь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последствие, коррекция, следующий шаг и компетентный адресат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Юрисдикция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правовая система и предел применимости вывода</w:t>
            </w:r>
          </w:p>
        </w:tc>
      </w:tr>
      <w:tr>
        <w:trPr>
          <w:cantSplit/>
        </w:trPr>
        <w:tc>
          <w:tcPr>
            <w:tcW w:type="dxa" w:w="24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Модерация</w:t>
            </w:r>
          </w:p>
        </w:tc>
        <w:tc>
          <w:tcPr>
            <w:tcW w:type="dxa" w:w="7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Ф. И. О. или роль модератора, дата заключения</w:t>
            </w:r>
          </w:p>
        </w:tc>
      </w:tr>
      <w:tr>
        <w:trPr>
          <w:cantSplit/>
        </w:trPr>
        <w:tc>
          <w:tcPr>
            <w:tcW w:type="dxa" w:w="24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Параллельный кейс</w:t>
            </w:r>
          </w:p>
        </w:tc>
        <w:tc>
          <w:tcPr>
            <w:tcW w:type="dxa" w:w="7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идентификатор задания для 90-го дня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Приложение 2. Рубрика итогового эссе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2100"/>
        <w:gridCol w:w="2100"/>
        <w:gridCol w:w="3069"/>
      </w:tblGrid>
      <w:tr>
        <w:trPr>
          <w:tblHeader w:val="true"/>
          <w:cantSplit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Критерий</w:t>
            </w:r>
          </w:p>
        </w:tc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0 баллов</w:t>
            </w:r>
          </w:p>
        </w:tc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1 балл</w:t>
            </w:r>
          </w:p>
        </w:tc>
        <w:tc>
          <w:tcPr>
            <w:tcW w:type="dxa" w:w="30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2 балла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Определение риска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риск не назван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назван частично</w:t>
            </w:r>
          </w:p>
        </w:tc>
        <w:tc>
          <w:tcPr>
            <w:tcW w:type="dxa" w:w="3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точно определён в контексте</w:t>
            </w:r>
          </w:p>
        </w:tc>
      </w:tr>
      <w:tr>
        <w:trPr>
          <w:cantSplit/>
        </w:trPr>
        <w:tc>
          <w:tcPr>
            <w:tcW w:type="dxa" w:w="2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Алгоритм действий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опасный или отсутствует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неполный</w:t>
            </w:r>
          </w:p>
        </w:tc>
        <w:tc>
          <w:tcPr>
            <w:tcW w:type="dxa" w:w="3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полный и последовательный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Проверка источника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не предусмотрена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упомянута без канала</w:t>
            </w:r>
          </w:p>
        </w:tc>
        <w:tc>
          <w:tcPr>
            <w:tcW w:type="dxa" w:w="3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использован независимый официальный канал</w:t>
            </w:r>
          </w:p>
        </w:tc>
      </w:tr>
      <w:tr>
        <w:trPr>
          <w:cantSplit/>
        </w:trPr>
        <w:tc>
          <w:tcPr>
            <w:tcW w:type="dxa" w:w="2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Фиксация и обращение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отсутствуют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указаны частично</w:t>
            </w:r>
          </w:p>
        </w:tc>
        <w:tc>
          <w:tcPr>
            <w:tcW w:type="dxa" w:w="3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определены доказательства и компетентный адресат</w:t>
            </w:r>
          </w:p>
        </w:tc>
      </w:tr>
      <w:tr>
        <w:trPr>
          <w:cantSplit/>
        </w:trPr>
        <w:tc>
          <w:tcPr>
            <w:tcW w:type="dxa" w:w="22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Аргументация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объяснения нет</w:t>
            </w:r>
          </w:p>
        </w:tc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связь частичная</w:t>
            </w:r>
          </w:p>
        </w:tc>
        <w:tc>
          <w:tcPr>
            <w:tcW w:type="dxa" w:w="3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причинно-следственная связь ясна</w:t>
            </w:r>
          </w:p>
        </w:tc>
      </w:tr>
      <w:tr>
        <w:trPr>
          <w:cantSplit/>
        </w:trPr>
        <w:tc>
          <w:tcPr>
            <w:tcW w:type="dxa" w:w="22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Правовая аккуратность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есть категоричная ошибка</w:t>
            </w:r>
          </w:p>
        </w:tc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вывод без даты или пределов</w:t>
            </w:r>
          </w:p>
        </w:tc>
        <w:tc>
          <w:tcPr>
            <w:tcW w:type="dxa" w:w="3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7"/>
              </w:rPr>
              <w:t>вывод проверен, датирован и корректно ограничен</w:t>
            </w:r>
          </w:p>
        </w:tc>
      </w:tr>
    </w:tbl>
    <w:p>
      <w:pPr>
        <w:spacing w:after="20"/>
      </w:pPr>
    </w:p>
    <w:p>
      <w:pPr>
        <w:spacing w:after="120"/>
        <w:ind w:firstLine="454"/>
        <w:jc w:val="both"/>
      </w:pPr>
      <w:r>
        <w:rPr>
          <w:rFonts w:ascii="Times New Roman" w:hAnsi="Times New Roman" w:eastAsia="Times New Roman"/>
        </w:rPr>
        <w:t>Максимум — 12 баллов. Наличие совета передать код, перевести деньги неизвестному лицу, предоставить доступ, уничтожить доказательства или скрыть инцидент требует обязательной корректирующей обратной связи независимо от общей суммы.</w:t>
      </w:r>
    </w:p>
    <w:p>
      <w:pPr>
        <w:pStyle w:val="Heading1"/>
        <w:keepNext/>
      </w:pPr>
      <w:r>
        <w:t>Приложение 3. Матрица текущей и целевой функциональности</w:t>
      </w:r>
    </w:p>
    <w:tbl>
      <w:tblPr>
        <w:tblW w:type="dxa" w:w="9469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300"/>
        <w:gridCol w:w="4069"/>
      </w:tblGrid>
      <w:tr>
        <w:trPr>
          <w:tblHeader w:val="true"/>
          <w:cantSplit/>
        </w:trP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Функция</w:t>
            </w:r>
          </w:p>
        </w:tc>
        <w:tc>
          <w:tcPr>
            <w:tcW w:type="dxa" w:w="3300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Текущий прототип</w:t>
            </w:r>
          </w:p>
        </w:tc>
        <w:tc>
          <w:tcPr>
            <w:tcW w:type="dxa" w:w="4069"/>
            <w:tcMar>
              <w:top w:w="90" w:type="dxa"/>
              <w:start w:w="120" w:type="dxa"/>
              <w:bottom w:w="90" w:type="dxa"/>
              <w:end w:w="120" w:type="dxa"/>
            </w:tcMar>
            <w:shd w:fill="082C4B"/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Целевая версия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Профиль</w:t>
            </w:r>
          </w:p>
        </w:tc>
        <w:tc>
          <w:tcPr>
            <w:tcW w:type="dxa" w:w="3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ввод в памяти браузера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защищённая учётная запись при отдельном правовом основании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Результат</w:t>
            </w:r>
          </w:p>
        </w:tc>
        <w:tc>
          <w:tcPr>
            <w:tcW w:type="dxa" w:w="3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локальное сохранение счёта, ошибок и даты 90-го дня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история B0/B1/90 и доменные слабости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Эссе</w:t>
            </w:r>
          </w:p>
        </w:tc>
        <w:tc>
          <w:tcPr>
            <w:tcW w:type="dxa" w:w="3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черновик только на устройстве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защищённая отправка и проверка модератором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Обратная связь</w:t>
            </w:r>
          </w:p>
        </w:tc>
        <w:tc>
          <w:tcPr>
            <w:tcW w:type="dxa" w:w="3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автоматическое объяснение по готовому сценарию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персональная экспертная обратная связь в предусмотренных случаях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Лаборатория</w:t>
            </w:r>
          </w:p>
        </w:tc>
        <w:tc>
          <w:tcPr>
            <w:tcW w:type="dxa" w:w="3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проектная модель команды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официально утверждённая рабочая группа при наличии акта</w:t>
            </w:r>
          </w:p>
        </w:tc>
      </w:tr>
      <w:tr>
        <w:trPr>
          <w:cantSplit/>
        </w:trPr>
        <w:tc>
          <w:tcPr>
            <w:tcW w:type="dxa" w:w="21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Языки</w:t>
            </w:r>
          </w:p>
        </w:tc>
        <w:tc>
          <w:tcPr>
            <w:tcW w:type="dxa" w:w="3300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2 полных и 13 бета-интерфейсов</w:t>
            </w:r>
          </w:p>
        </w:tc>
        <w:tc>
          <w:tcPr>
            <w:tcW w:type="dxa" w:w="4069"/>
            <w:shd w:fill="F5F8F7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полные локализации после языковой и правовой экспертизы</w:t>
            </w:r>
          </w:p>
        </w:tc>
      </w:tr>
      <w:tr>
        <w:trPr>
          <w:cantSplit/>
        </w:trPr>
        <w:tc>
          <w:tcPr>
            <w:tcW w:type="dxa" w:w="21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Исследование</w:t>
            </w:r>
          </w:p>
        </w:tc>
        <w:tc>
          <w:tcPr>
            <w:tcW w:type="dxa" w:w="3300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продуктовый прототип</w:t>
            </w:r>
          </w:p>
        </w:tc>
        <w:tc>
          <w:tcPr>
            <w:tcW w:type="dxa" w:w="4069"/>
            <w:vAlign w:val="top"/>
          </w:tcPr>
          <w:p>
            <w:pPr>
              <w:keepLines/>
              <w:spacing w:after="0" w:line="252" w:lineRule="auto"/>
              <w:jc w:val="left"/>
            </w:pPr>
            <w:r>
              <w:rPr>
                <w:rFonts w:ascii="Times New Roman" w:hAnsi="Times New Roman" w:eastAsia="Times New Roman"/>
                <w:color w:val="162B3A"/>
                <w:sz w:val="18"/>
              </w:rPr>
              <w:t>заранее утверждённый университетский пилот с обезличенным анализом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1134" w:left="1417" w:header="45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Times New Roman" w:hAnsi="Times New Roman" w:eastAsia="Times New Roman"/>
        <w:color w:val="687B88"/>
        <w:sz w:val="17"/>
      </w:rPr>
      <w:t xml:space="preserve">РГУП им. В. М. Лебедева  •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Times New Roman" w:hAnsi="Times New Roman" w:eastAsia="Times New Roman"/>
        <w:b/>
        <w:color w:val="0B8A64"/>
        <w:sz w:val="17"/>
      </w:rPr>
      <w:t>ФИНАВАНГАРД  |  АКТУАЛИЗИРОВАННАЯ КОНЦЕПЦИЯ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720" w:hanging="360"/>
      </w:pPr>
      <w:rPr>
        <w:rFonts w:ascii="Times New Roman" w:hAnsi="Times New Roman" w:eastAsia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720" w:hanging="360"/>
      </w:pPr>
      <w:rPr>
        <w:rFonts w:ascii="Times New Roman" w:hAnsi="Times New Roman" w:eastAsia="Times New Roman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720" w:hanging="360"/>
      </w:pPr>
      <w:rPr>
        <w:rFonts w:ascii="Times New Roman" w:hAnsi="Times New Roman" w:eastAsia="Times New Roman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720" w:hanging="360"/>
      </w:pPr>
      <w:rPr>
        <w:rFonts w:ascii="Times New Roman" w:hAnsi="Times New Roman" w:eastAsia="Times New Roman"/>
      </w:r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/>
      <w:color w:val="162B3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82C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B8A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B385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rPr>
      <w:rFonts w:ascii="Times New Roman" w:hAnsi="Times New Roman"/>
      <w:color w:val="082C4B"/>
      <w:sz w:val="25"/>
    </w:rPr>
  </w:style>
  <w:style w:type="paragraph" w:customStyle="1" w:styleId="SmallNote">
    <w:name w:val="Small Note"/>
    <w:rPr>
      <w:rFonts w:ascii="Times New Roman" w:hAnsi="Times New Roman"/>
      <w:color w:val="687B8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finavangardgos.ru" TargetMode="External"/><Relationship Id="rId13" Type="http://schemas.openxmlformats.org/officeDocument/2006/relationships/hyperlink" Target="https://ncb.rgup.ru/sveden/common/" TargetMode="External"/><Relationship Id="rId14" Type="http://schemas.openxmlformats.org/officeDocument/2006/relationships/hyperlink" Target="https://www.cbr.ru/analytics/szpp/fin_literacy/strategy/" TargetMode="External"/><Relationship Id="rId15" Type="http://schemas.openxmlformats.org/officeDocument/2006/relationships/hyperlink" Target="https://doi.org/10.1787/92f2d439-en" TargetMode="External"/><Relationship Id="rId16" Type="http://schemas.openxmlformats.org/officeDocument/2006/relationships/hyperlink" Target="https://legalinstruments.oecd.org/en/instruments/OECD-LEGAL-0461" TargetMode="External"/><Relationship Id="rId17" Type="http://schemas.openxmlformats.org/officeDocument/2006/relationships/hyperlink" Target="https://www.cbr.ru/information_security/" TargetMode="External"/><Relationship Id="rId18" Type="http://schemas.openxmlformats.org/officeDocument/2006/relationships/hyperlink" Target="https://doi.org/10.1002/ejsp.674" TargetMode="External"/><Relationship Id="rId19" Type="http://schemas.openxmlformats.org/officeDocument/2006/relationships/hyperlink" Target="https://pmc.ncbi.nlm.nih.gov/articles/PMC11641623/" TargetMode="External"/><Relationship Id="rId20" Type="http://schemas.openxmlformats.org/officeDocument/2006/relationships/hyperlink" Target="https://www.fatf-gafi.org/en/publications/Fatfrecommendations/update-Recommendation-16-payment-transparency-june-2025.html" TargetMode="External"/><Relationship Id="rId21" Type="http://schemas.openxmlformats.org/officeDocument/2006/relationships/hyperlink" Target="https://www.eurasiangroup.org/" TargetMode="External"/><Relationship Id="rId22" Type="http://schemas.openxmlformats.org/officeDocument/2006/relationships/hyperlink" Target="https://www.consultant.ru/document/cons_doc_LAW_61801/" TargetMode="External"/><Relationship Id="rId23" Type="http://schemas.openxmlformats.org/officeDocument/2006/relationships/hyperlink" Target="https://www.consultant.ru/document/cons_doc_LAW_61798/" TargetMode="External"/><Relationship Id="rId24" Type="http://schemas.openxmlformats.org/officeDocument/2006/relationships/hyperlink" Target="https://www.consultant.ru/document/cons_doc_LAW_14017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ФинАвангард — актуализированная концепция 2026</dc:title>
  <dc:subject>Образовательный портал и цифровая среда формирования цифрового финансового иммунитета</dc:subject>
  <dc:creator>Команда «ФинАвангард»</dc:creator>
  <cp:keywords>ФинАвангард, финансовая безопасность, цифровой финансовый иммунитет, кейс-симулятор</cp:keywords>
  <dc:description>Актуализировано по состоянию на 2 сентября 2026 года.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